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BD" w:rsidRPr="00800F29" w:rsidRDefault="003D3FDB" w:rsidP="00507EBD">
      <w:pPr>
        <w:pStyle w:val="Titlestyle"/>
        <w:spacing w:line="360" w:lineRule="auto"/>
        <w:jc w:val="center"/>
        <w:rPr>
          <w:rFonts w:ascii="Times New Roman" w:hAnsi="Times New Roman"/>
          <w:b w:val="0"/>
          <w:sz w:val="24"/>
          <w:szCs w:val="24"/>
        </w:rPr>
      </w:pPr>
      <w:proofErr w:type="gramStart"/>
      <w:r w:rsidRPr="00800F29">
        <w:rPr>
          <w:rFonts w:ascii="Times New Roman" w:hAnsi="Times New Roman"/>
          <w:sz w:val="24"/>
          <w:szCs w:val="24"/>
        </w:rPr>
        <w:t xml:space="preserve">Modified </w:t>
      </w:r>
      <w:r w:rsidR="00507EBD" w:rsidRPr="00800F29">
        <w:rPr>
          <w:rFonts w:ascii="Times New Roman" w:hAnsi="Times New Roman"/>
          <w:sz w:val="24"/>
          <w:szCs w:val="24"/>
        </w:rPr>
        <w:t>Contingent Valuation Method for A</w:t>
      </w:r>
      <w:r w:rsidR="00421B7C" w:rsidRPr="00800F29">
        <w:rPr>
          <w:rFonts w:ascii="Times New Roman" w:hAnsi="Times New Roman"/>
          <w:sz w:val="24"/>
          <w:szCs w:val="24"/>
        </w:rPr>
        <w:t>gricultural Wastes between the A</w:t>
      </w:r>
      <w:r w:rsidR="00507EBD" w:rsidRPr="00800F29">
        <w:rPr>
          <w:rFonts w:ascii="Times New Roman" w:hAnsi="Times New Roman"/>
          <w:sz w:val="24"/>
          <w:szCs w:val="24"/>
        </w:rPr>
        <w:t>rea</w:t>
      </w:r>
      <w:r w:rsidR="00675344" w:rsidRPr="00800F29">
        <w:rPr>
          <w:rFonts w:ascii="Times New Roman" w:hAnsi="Times New Roman"/>
          <w:sz w:val="24"/>
          <w:szCs w:val="24"/>
        </w:rPr>
        <w:t>s</w:t>
      </w:r>
      <w:r w:rsidR="00507EBD" w:rsidRPr="00800F29">
        <w:rPr>
          <w:rFonts w:ascii="Times New Roman" w:hAnsi="Times New Roman"/>
          <w:sz w:val="24"/>
          <w:szCs w:val="24"/>
        </w:rPr>
        <w:t xml:space="preserve"> of Peloponnese and Thessaly in Greece.</w:t>
      </w:r>
      <w:proofErr w:type="gramEnd"/>
      <w:r w:rsidR="00507EBD" w:rsidRPr="00800F29">
        <w:rPr>
          <w:rFonts w:ascii="Times New Roman" w:hAnsi="Times New Roman"/>
          <w:sz w:val="24"/>
          <w:szCs w:val="24"/>
        </w:rPr>
        <w:t xml:space="preserve"> </w:t>
      </w:r>
    </w:p>
    <w:p w:rsidR="00507EBD" w:rsidRPr="00800F29" w:rsidRDefault="00507EBD" w:rsidP="00507EBD">
      <w:pPr>
        <w:spacing w:after="0" w:line="360" w:lineRule="auto"/>
        <w:jc w:val="both"/>
        <w:rPr>
          <w:rFonts w:ascii="Times New Roman" w:eastAsia="Times New Roman" w:hAnsi="Times New Roman" w:cs="Times New Roman"/>
          <w:b/>
          <w:sz w:val="24"/>
          <w:szCs w:val="24"/>
          <w:lang w:val="en-AU"/>
        </w:rPr>
      </w:pPr>
    </w:p>
    <w:p w:rsidR="009A5AB1" w:rsidRPr="00800F29" w:rsidRDefault="009A5AB1" w:rsidP="009A5AB1">
      <w:pPr>
        <w:spacing w:after="0" w:line="240" w:lineRule="auto"/>
        <w:jc w:val="center"/>
        <w:rPr>
          <w:rFonts w:ascii="Times New Roman" w:hAnsi="Times New Roman" w:cs="Times New Roman"/>
          <w:b/>
          <w:vertAlign w:val="superscript"/>
          <w:lang w:val="en-US"/>
        </w:rPr>
      </w:pPr>
      <w:proofErr w:type="spellStart"/>
      <w:r w:rsidRPr="0065442B">
        <w:rPr>
          <w:rFonts w:ascii="Times New Roman" w:hAnsi="Times New Roman" w:cs="Times New Roman"/>
          <w:b/>
          <w:lang w:val="en-US"/>
        </w:rPr>
        <w:t>Odysseas</w:t>
      </w:r>
      <w:proofErr w:type="spellEnd"/>
      <w:r w:rsidRPr="0065442B">
        <w:rPr>
          <w:rFonts w:ascii="Times New Roman" w:hAnsi="Times New Roman" w:cs="Times New Roman"/>
          <w:b/>
          <w:lang w:val="en-US"/>
        </w:rPr>
        <w:t xml:space="preserve"> N. </w:t>
      </w:r>
      <w:proofErr w:type="spellStart"/>
      <w:r w:rsidRPr="0065442B">
        <w:rPr>
          <w:rFonts w:ascii="Times New Roman" w:hAnsi="Times New Roman" w:cs="Times New Roman"/>
          <w:b/>
          <w:lang w:val="en-US"/>
        </w:rPr>
        <w:t>Kopsidas</w:t>
      </w:r>
      <w:proofErr w:type="spellEnd"/>
      <w:r w:rsidRPr="0065442B">
        <w:rPr>
          <w:rFonts w:ascii="Times New Roman" w:hAnsi="Times New Roman" w:cs="Times New Roman"/>
          <w:b/>
          <w:lang w:val="en-US"/>
        </w:rPr>
        <w:t xml:space="preserve"> </w:t>
      </w:r>
      <w:r w:rsidRPr="0065442B">
        <w:rPr>
          <w:rFonts w:ascii="Times New Roman" w:hAnsi="Times New Roman" w:cs="Times New Roman"/>
          <w:b/>
          <w:vertAlign w:val="superscript"/>
          <w:lang w:val="en-US"/>
        </w:rPr>
        <w:t>1</w:t>
      </w:r>
      <w:r w:rsidRPr="00800F29">
        <w:rPr>
          <w:rFonts w:ascii="Times New Roman" w:hAnsi="Times New Roman" w:cs="Times New Roman"/>
          <w:b/>
          <w:lang w:val="en-US"/>
        </w:rPr>
        <w:t xml:space="preserve">, </w:t>
      </w:r>
      <w:proofErr w:type="spellStart"/>
      <w:r w:rsidRPr="00800F29">
        <w:rPr>
          <w:rFonts w:ascii="Times New Roman" w:hAnsi="Times New Roman" w:cs="Times New Roman"/>
          <w:b/>
          <w:lang w:val="en-US"/>
        </w:rPr>
        <w:t>Athanasios</w:t>
      </w:r>
      <w:proofErr w:type="spellEnd"/>
      <w:r w:rsidRPr="00800F29">
        <w:rPr>
          <w:rFonts w:ascii="Times New Roman" w:hAnsi="Times New Roman" w:cs="Times New Roman"/>
          <w:b/>
          <w:lang w:val="en-US"/>
        </w:rPr>
        <w:t xml:space="preserve"> N. </w:t>
      </w:r>
      <w:proofErr w:type="spellStart"/>
      <w:r w:rsidRPr="00800F29">
        <w:rPr>
          <w:rFonts w:ascii="Times New Roman" w:hAnsi="Times New Roman" w:cs="Times New Roman"/>
          <w:b/>
          <w:lang w:val="en-US"/>
        </w:rPr>
        <w:t>Kopsidas</w:t>
      </w:r>
      <w:proofErr w:type="spellEnd"/>
      <w:r w:rsidRPr="00800F29">
        <w:rPr>
          <w:rFonts w:ascii="Times New Roman" w:hAnsi="Times New Roman" w:cs="Times New Roman"/>
          <w:b/>
          <w:lang w:val="en-US"/>
        </w:rPr>
        <w:t xml:space="preserve"> </w:t>
      </w:r>
      <w:r w:rsidRPr="00800F29">
        <w:rPr>
          <w:rFonts w:ascii="Times New Roman" w:hAnsi="Times New Roman" w:cs="Times New Roman"/>
          <w:b/>
          <w:vertAlign w:val="superscript"/>
          <w:lang w:val="en-US"/>
        </w:rPr>
        <w:t>2</w:t>
      </w:r>
    </w:p>
    <w:p w:rsidR="009A5AB1" w:rsidRPr="00800F29" w:rsidRDefault="009A5AB1" w:rsidP="009A5AB1">
      <w:pPr>
        <w:spacing w:after="0" w:line="240" w:lineRule="auto"/>
        <w:jc w:val="center"/>
        <w:rPr>
          <w:rFonts w:ascii="Times New Roman" w:hAnsi="Times New Roman" w:cs="Times New Roman"/>
          <w:sz w:val="24"/>
          <w:szCs w:val="24"/>
          <w:lang w:val="en-US"/>
        </w:rPr>
      </w:pPr>
    </w:p>
    <w:p w:rsidR="009A5AB1" w:rsidRPr="00800F29" w:rsidRDefault="009A5AB1" w:rsidP="009A5AB1">
      <w:pPr>
        <w:spacing w:after="0" w:line="240" w:lineRule="auto"/>
        <w:jc w:val="both"/>
        <w:rPr>
          <w:rFonts w:ascii="Times New Roman" w:hAnsi="Times New Roman" w:cs="Times New Roman"/>
          <w:sz w:val="20"/>
          <w:szCs w:val="20"/>
          <w:lang w:val="en-US"/>
        </w:rPr>
      </w:pPr>
      <w:r w:rsidRPr="00800F29">
        <w:rPr>
          <w:rFonts w:ascii="Times New Roman" w:hAnsi="Times New Roman" w:cs="Times New Roman"/>
          <w:sz w:val="20"/>
          <w:szCs w:val="20"/>
          <w:lang w:val="en-US"/>
        </w:rPr>
        <w:t xml:space="preserve">1. </w:t>
      </w:r>
      <w:r w:rsidR="0065442B">
        <w:rPr>
          <w:rFonts w:ascii="Times New Roman" w:hAnsi="Times New Roman" w:cs="Times New Roman"/>
          <w:sz w:val="20"/>
          <w:szCs w:val="20"/>
          <w:lang w:val="en-US"/>
        </w:rPr>
        <w:t xml:space="preserve">School of Economics and Business, University </w:t>
      </w:r>
      <w:proofErr w:type="spellStart"/>
      <w:r w:rsidR="0065442B">
        <w:rPr>
          <w:rFonts w:ascii="Times New Roman" w:hAnsi="Times New Roman" w:cs="Times New Roman"/>
          <w:sz w:val="20"/>
          <w:szCs w:val="20"/>
          <w:lang w:val="en-US"/>
        </w:rPr>
        <w:t>Neapolis</w:t>
      </w:r>
      <w:proofErr w:type="spellEnd"/>
      <w:r w:rsidR="0065442B">
        <w:rPr>
          <w:rFonts w:ascii="Times New Roman" w:hAnsi="Times New Roman" w:cs="Times New Roman"/>
          <w:sz w:val="20"/>
          <w:szCs w:val="20"/>
          <w:lang w:val="en-US"/>
        </w:rPr>
        <w:t xml:space="preserve"> </w:t>
      </w:r>
      <w:proofErr w:type="spellStart"/>
      <w:r w:rsidR="0065442B">
        <w:rPr>
          <w:rFonts w:ascii="Times New Roman" w:hAnsi="Times New Roman" w:cs="Times New Roman"/>
          <w:sz w:val="20"/>
          <w:szCs w:val="20"/>
          <w:lang w:val="en-US"/>
        </w:rPr>
        <w:t>Pafos</w:t>
      </w:r>
      <w:proofErr w:type="spellEnd"/>
      <w:r w:rsidR="0065442B">
        <w:rPr>
          <w:rFonts w:ascii="Times New Roman" w:hAnsi="Times New Roman" w:cs="Times New Roman"/>
          <w:sz w:val="20"/>
          <w:szCs w:val="20"/>
          <w:lang w:val="en-US"/>
        </w:rPr>
        <w:t xml:space="preserve">, 2 </w:t>
      </w:r>
      <w:proofErr w:type="spellStart"/>
      <w:r w:rsidR="0065442B">
        <w:rPr>
          <w:rFonts w:ascii="Times New Roman" w:hAnsi="Times New Roman" w:cs="Times New Roman"/>
          <w:sz w:val="20"/>
          <w:szCs w:val="20"/>
          <w:lang w:val="en-US"/>
        </w:rPr>
        <w:t>Danais</w:t>
      </w:r>
      <w:proofErr w:type="spellEnd"/>
      <w:r w:rsidR="0065442B">
        <w:rPr>
          <w:rFonts w:ascii="Times New Roman" w:hAnsi="Times New Roman" w:cs="Times New Roman"/>
          <w:sz w:val="20"/>
          <w:szCs w:val="20"/>
          <w:lang w:val="en-US"/>
        </w:rPr>
        <w:t xml:space="preserve"> Avenue, 8042 </w:t>
      </w:r>
      <w:proofErr w:type="spellStart"/>
      <w:r w:rsidR="0065442B">
        <w:rPr>
          <w:rFonts w:ascii="Times New Roman" w:hAnsi="Times New Roman" w:cs="Times New Roman"/>
          <w:sz w:val="20"/>
          <w:szCs w:val="20"/>
          <w:lang w:val="en-US"/>
        </w:rPr>
        <w:t>Paphos</w:t>
      </w:r>
      <w:proofErr w:type="spellEnd"/>
      <w:r w:rsidR="0065442B">
        <w:rPr>
          <w:rFonts w:ascii="Times New Roman" w:hAnsi="Times New Roman" w:cs="Times New Roman"/>
          <w:sz w:val="20"/>
          <w:szCs w:val="20"/>
          <w:lang w:val="en-US"/>
        </w:rPr>
        <w:t>, Cyprus</w:t>
      </w:r>
      <w:r w:rsidRPr="00800F29">
        <w:rPr>
          <w:rFonts w:ascii="Times New Roman" w:hAnsi="Times New Roman" w:cs="Times New Roman"/>
          <w:sz w:val="20"/>
          <w:szCs w:val="20"/>
          <w:lang w:val="en-US"/>
        </w:rPr>
        <w:t xml:space="preserve">, e-mail: </w:t>
      </w:r>
      <w:hyperlink r:id="rId5" w:history="1">
        <w:r w:rsidRPr="00800F29">
          <w:rPr>
            <w:rStyle w:val="-"/>
            <w:rFonts w:ascii="Times New Roman" w:hAnsi="Times New Roman" w:cs="Times New Roman"/>
            <w:sz w:val="20"/>
            <w:szCs w:val="20"/>
            <w:lang w:val="en-US"/>
          </w:rPr>
          <w:t>odykopsi@yahoo.gr</w:t>
        </w:r>
      </w:hyperlink>
    </w:p>
    <w:p w:rsidR="009A5AB1" w:rsidRPr="00800F29" w:rsidRDefault="009A5AB1" w:rsidP="009A5AB1">
      <w:pPr>
        <w:spacing w:after="0" w:line="240" w:lineRule="auto"/>
        <w:rPr>
          <w:rFonts w:ascii="Times New Roman" w:hAnsi="Times New Roman" w:cs="Times New Roman"/>
          <w:sz w:val="20"/>
          <w:szCs w:val="20"/>
          <w:lang w:val="en-US"/>
        </w:rPr>
      </w:pPr>
    </w:p>
    <w:p w:rsidR="00507EBD" w:rsidRPr="00800F29" w:rsidRDefault="009A5AB1" w:rsidP="009A5AB1">
      <w:pPr>
        <w:spacing w:after="0" w:line="240" w:lineRule="auto"/>
        <w:jc w:val="both"/>
        <w:rPr>
          <w:rFonts w:ascii="Times New Roman" w:hAnsi="Times New Roman" w:cs="Times New Roman"/>
          <w:sz w:val="20"/>
          <w:szCs w:val="20"/>
          <w:lang w:val="en-US"/>
        </w:rPr>
      </w:pPr>
      <w:r w:rsidRPr="00800F29">
        <w:rPr>
          <w:rFonts w:ascii="Times New Roman" w:hAnsi="Times New Roman" w:cs="Times New Roman"/>
          <w:sz w:val="20"/>
          <w:szCs w:val="20"/>
          <w:lang w:val="en-US"/>
        </w:rPr>
        <w:t xml:space="preserve">2. School of Civil Engineering National Technical University of Athens, </w:t>
      </w:r>
      <w:proofErr w:type="spellStart"/>
      <w:r w:rsidRPr="00800F29">
        <w:rPr>
          <w:rFonts w:ascii="Times New Roman" w:hAnsi="Times New Roman" w:cs="Times New Roman"/>
          <w:sz w:val="20"/>
          <w:szCs w:val="20"/>
          <w:lang w:val="en-US"/>
        </w:rPr>
        <w:t>Heroon</w:t>
      </w:r>
      <w:proofErr w:type="spellEnd"/>
      <w:r w:rsidRPr="00800F29">
        <w:rPr>
          <w:rFonts w:ascii="Times New Roman" w:hAnsi="Times New Roman" w:cs="Times New Roman"/>
          <w:sz w:val="20"/>
          <w:szCs w:val="20"/>
          <w:lang w:val="en-US"/>
        </w:rPr>
        <w:t xml:space="preserve"> </w:t>
      </w:r>
      <w:proofErr w:type="spellStart"/>
      <w:r w:rsidRPr="00800F29">
        <w:rPr>
          <w:rFonts w:ascii="Times New Roman" w:hAnsi="Times New Roman" w:cs="Times New Roman"/>
          <w:sz w:val="20"/>
          <w:szCs w:val="20"/>
          <w:lang w:val="en-US"/>
        </w:rPr>
        <w:t>Polytechneiou</w:t>
      </w:r>
      <w:proofErr w:type="spellEnd"/>
      <w:r w:rsidRPr="00800F29">
        <w:rPr>
          <w:rFonts w:ascii="Times New Roman" w:hAnsi="Times New Roman" w:cs="Times New Roman"/>
          <w:sz w:val="20"/>
          <w:szCs w:val="20"/>
          <w:lang w:val="en-US"/>
        </w:rPr>
        <w:t xml:space="preserve"> 9</w:t>
      </w:r>
      <w:r w:rsidRPr="00800F29">
        <w:rPr>
          <w:rFonts w:ascii="Times New Roman" w:hAnsi="Times New Roman" w:cs="Times New Roman"/>
          <w:sz w:val="20"/>
          <w:szCs w:val="20"/>
          <w:lang w:val="en-US"/>
        </w:rPr>
        <w:br/>
        <w:t xml:space="preserve">157 80 </w:t>
      </w:r>
      <w:proofErr w:type="spellStart"/>
      <w:r w:rsidRPr="00800F29">
        <w:rPr>
          <w:rFonts w:ascii="Times New Roman" w:hAnsi="Times New Roman" w:cs="Times New Roman"/>
          <w:sz w:val="20"/>
          <w:szCs w:val="20"/>
          <w:lang w:val="en-US"/>
        </w:rPr>
        <w:t>Zografos</w:t>
      </w:r>
      <w:proofErr w:type="spellEnd"/>
      <w:r w:rsidRPr="00800F29">
        <w:rPr>
          <w:rFonts w:ascii="Times New Roman" w:hAnsi="Times New Roman" w:cs="Times New Roman"/>
          <w:sz w:val="20"/>
          <w:szCs w:val="20"/>
          <w:lang w:val="en-US"/>
        </w:rPr>
        <w:t xml:space="preserve"> – Athens, Greece</w:t>
      </w:r>
    </w:p>
    <w:p w:rsidR="00507EBD" w:rsidRPr="00800F29" w:rsidRDefault="00507EBD" w:rsidP="00507EBD">
      <w:pPr>
        <w:pStyle w:val="Abstract"/>
        <w:spacing w:line="360" w:lineRule="auto"/>
        <w:ind w:left="0" w:right="289"/>
        <w:rPr>
          <w:sz w:val="24"/>
          <w:szCs w:val="24"/>
          <w:lang w:val="en-GB"/>
        </w:rPr>
      </w:pPr>
    </w:p>
    <w:p w:rsidR="00507EBD" w:rsidRPr="00800F29" w:rsidRDefault="00507EBD" w:rsidP="003D3FDB">
      <w:pPr>
        <w:pStyle w:val="Abstract"/>
        <w:spacing w:before="0" w:line="360" w:lineRule="auto"/>
        <w:ind w:left="0" w:right="567"/>
        <w:jc w:val="left"/>
        <w:rPr>
          <w:b/>
          <w:bCs/>
          <w:i/>
          <w:iCs/>
          <w:sz w:val="24"/>
          <w:szCs w:val="24"/>
          <w:lang w:val="en-AU"/>
        </w:rPr>
      </w:pPr>
      <w:r w:rsidRPr="00800F29">
        <w:rPr>
          <w:b/>
          <w:bCs/>
          <w:iCs/>
          <w:sz w:val="24"/>
          <w:szCs w:val="24"/>
          <w:lang w:val="en-AU"/>
        </w:rPr>
        <w:t>Abstract</w:t>
      </w:r>
    </w:p>
    <w:p w:rsidR="00F070F7" w:rsidRPr="00800F29" w:rsidRDefault="00507EBD" w:rsidP="00F070F7">
      <w:pPr>
        <w:spacing w:after="0" w:line="360" w:lineRule="auto"/>
        <w:jc w:val="both"/>
        <w:rPr>
          <w:rFonts w:ascii="Times New Roman" w:eastAsia="Times New Roman" w:hAnsi="Times New Roman" w:cs="Times New Roman"/>
          <w:sz w:val="24"/>
          <w:szCs w:val="24"/>
          <w:lang w:val="en-AU"/>
        </w:rPr>
      </w:pPr>
      <w:r w:rsidRPr="00800F29">
        <w:rPr>
          <w:rFonts w:ascii="Times New Roman" w:hAnsi="Times New Roman" w:cs="Times New Roman"/>
          <w:bCs/>
          <w:iCs/>
          <w:sz w:val="24"/>
          <w:szCs w:val="24"/>
          <w:lang w:val="en-AU"/>
        </w:rPr>
        <w:t xml:space="preserve">This paper focuses on investigating the tendency of farmers in the greater area of </w:t>
      </w:r>
      <w:r w:rsidR="002115CD" w:rsidRPr="00800F29">
        <w:rPr>
          <w:rFonts w:ascii="Times New Roman" w:hAnsi="Times New Roman" w:cs="Times New Roman"/>
          <w:bCs/>
          <w:iCs/>
          <w:sz w:val="24"/>
          <w:szCs w:val="24"/>
          <w:lang w:val="en-AU"/>
        </w:rPr>
        <w:t>Peloponnese</w:t>
      </w:r>
      <w:r w:rsidRPr="00800F29">
        <w:rPr>
          <w:rFonts w:ascii="Times New Roman" w:hAnsi="Times New Roman" w:cs="Times New Roman"/>
          <w:bCs/>
          <w:iCs/>
          <w:sz w:val="24"/>
          <w:szCs w:val="24"/>
          <w:lang w:val="en-AU"/>
        </w:rPr>
        <w:t xml:space="preserve"> as well as those on the </w:t>
      </w:r>
      <w:r w:rsidR="009A5AB1" w:rsidRPr="00800F29">
        <w:rPr>
          <w:rFonts w:ascii="Times New Roman" w:hAnsi="Times New Roman" w:cs="Times New Roman"/>
          <w:bCs/>
          <w:iCs/>
          <w:sz w:val="24"/>
          <w:szCs w:val="24"/>
          <w:lang w:val="en-AU"/>
        </w:rPr>
        <w:t>greater area of Thessaly</w:t>
      </w:r>
      <w:r w:rsidRPr="00800F29">
        <w:rPr>
          <w:rFonts w:ascii="Times New Roman" w:hAnsi="Times New Roman" w:cs="Times New Roman"/>
          <w:bCs/>
          <w:iCs/>
          <w:sz w:val="24"/>
          <w:szCs w:val="24"/>
          <w:lang w:val="en-AU"/>
        </w:rPr>
        <w:t xml:space="preserve"> to </w:t>
      </w:r>
      <w:r w:rsidR="002115CD" w:rsidRPr="00800F29">
        <w:rPr>
          <w:rFonts w:ascii="Times New Roman" w:hAnsi="Times New Roman" w:cs="Times New Roman"/>
          <w:bCs/>
          <w:iCs/>
          <w:sz w:val="24"/>
          <w:szCs w:val="24"/>
          <w:lang w:val="en-AU"/>
        </w:rPr>
        <w:t>participate in a program of environmental agricultural waste management</w:t>
      </w:r>
      <w:r w:rsidRPr="00800F29">
        <w:rPr>
          <w:rFonts w:ascii="Times New Roman" w:hAnsi="Times New Roman" w:cs="Times New Roman"/>
          <w:bCs/>
          <w:iCs/>
          <w:sz w:val="24"/>
          <w:szCs w:val="24"/>
          <w:lang w:val="en-AU"/>
        </w:rPr>
        <w:t xml:space="preserve">. </w:t>
      </w:r>
      <w:r w:rsidR="00782D1A" w:rsidRPr="00800F29">
        <w:rPr>
          <w:rFonts w:ascii="Times New Roman" w:hAnsi="Times New Roman" w:cs="Times New Roman"/>
          <w:bCs/>
          <w:iCs/>
          <w:sz w:val="24"/>
          <w:szCs w:val="24"/>
          <w:lang w:val="en-AU"/>
        </w:rPr>
        <w:t xml:space="preserve">The aim of the present study is to investigate </w:t>
      </w:r>
      <w:r w:rsidRPr="00800F29">
        <w:rPr>
          <w:rFonts w:ascii="Times New Roman" w:hAnsi="Times New Roman" w:cs="Times New Roman"/>
          <w:bCs/>
          <w:iCs/>
          <w:sz w:val="24"/>
          <w:szCs w:val="24"/>
          <w:lang w:val="en-AU"/>
        </w:rPr>
        <w:t xml:space="preserve">the level of amount </w:t>
      </w:r>
      <w:r w:rsidR="00CF415E" w:rsidRPr="00800F29">
        <w:rPr>
          <w:rFonts w:ascii="Times New Roman" w:hAnsi="Times New Roman" w:cs="Times New Roman"/>
          <w:bCs/>
          <w:iCs/>
          <w:sz w:val="24"/>
          <w:szCs w:val="24"/>
          <w:lang w:val="en-AU"/>
        </w:rPr>
        <w:t>Willingness to Accept (</w:t>
      </w:r>
      <w:proofErr w:type="spellStart"/>
      <w:r w:rsidR="00CF415E" w:rsidRPr="00800F29">
        <w:rPr>
          <w:rFonts w:ascii="Times New Roman" w:hAnsi="Times New Roman" w:cs="Times New Roman"/>
          <w:bCs/>
          <w:iCs/>
          <w:sz w:val="24"/>
          <w:szCs w:val="24"/>
          <w:lang w:val="en-AU"/>
        </w:rPr>
        <w:t>Wt</w:t>
      </w:r>
      <w:r w:rsidRPr="00800F29">
        <w:rPr>
          <w:rFonts w:ascii="Times New Roman" w:hAnsi="Times New Roman" w:cs="Times New Roman"/>
          <w:bCs/>
          <w:iCs/>
          <w:sz w:val="24"/>
          <w:szCs w:val="24"/>
          <w:lang w:val="en-AU"/>
        </w:rPr>
        <w:t>A</w:t>
      </w:r>
      <w:proofErr w:type="spellEnd"/>
      <w:r w:rsidR="00CF415E" w:rsidRPr="00800F29">
        <w:rPr>
          <w:rFonts w:ascii="Times New Roman" w:hAnsi="Times New Roman" w:cs="Times New Roman"/>
          <w:bCs/>
          <w:iCs/>
          <w:sz w:val="24"/>
          <w:szCs w:val="24"/>
          <w:lang w:val="en-AU"/>
        </w:rPr>
        <w:t>)</w:t>
      </w:r>
      <w:r w:rsidRPr="00800F29">
        <w:rPr>
          <w:rFonts w:ascii="Times New Roman" w:hAnsi="Times New Roman" w:cs="Times New Roman"/>
          <w:bCs/>
          <w:iCs/>
          <w:sz w:val="24"/>
          <w:szCs w:val="24"/>
          <w:lang w:val="en-AU"/>
        </w:rPr>
        <w:t xml:space="preserve"> against which the farmers would be willing to allow anyone to gather and carry away the leftovers of their farming exploitation. To serve the above goals, the agricultural leftovers are evaluated by the Contingent Valuation Method (CVM) as an environmental non-market economic commodity.</w:t>
      </w:r>
      <w:r w:rsidRPr="00800F29">
        <w:rPr>
          <w:rFonts w:ascii="Times New Roman" w:eastAsia="Times New Roman" w:hAnsi="Times New Roman" w:cs="Times New Roman"/>
          <w:sz w:val="24"/>
          <w:szCs w:val="24"/>
          <w:lang w:val="en-AU"/>
        </w:rPr>
        <w:t xml:space="preserve"> </w:t>
      </w:r>
      <w:r w:rsidR="00645F51" w:rsidRPr="00800F29">
        <w:rPr>
          <w:rFonts w:ascii="Times New Roman" w:eastAsia="Times New Roman" w:hAnsi="Times New Roman" w:cs="Times New Roman"/>
          <w:sz w:val="24"/>
          <w:szCs w:val="24"/>
          <w:lang w:val="en-AU"/>
        </w:rPr>
        <w:t>The specimen response on utilization of the rejected biomass was satisfactory, since a good percentage of the interviewees are willing to contribute to this procedure for a minimal of remuneration, although investigations of this type are novel for Greek reality. From this investigation it is perceived by the society the importance of alternative utilization of the rejected biomass.</w:t>
      </w:r>
      <w:r w:rsidR="00F070F7" w:rsidRPr="00800F29">
        <w:rPr>
          <w:rFonts w:ascii="Times New Roman" w:eastAsia="Times New Roman" w:hAnsi="Times New Roman" w:cs="Times New Roman"/>
          <w:sz w:val="24"/>
          <w:szCs w:val="24"/>
          <w:lang w:val="en-AU"/>
        </w:rPr>
        <w:t xml:space="preserve"> We conclude that the minimum amount each interviewee is willing to accept as minimal remuneration, is affected by the way these biomass leftovers are managed, the age of the interviewees and the area in which they live. Those interviewees who use such biomass leftovers in alternative applications wish to be remunerated higher compared to those who relinquish such leftovers. The ordinal logistic model is listed in a broader category of Generalized Linear Models for arrangement data.</w:t>
      </w:r>
    </w:p>
    <w:p w:rsidR="00507EBD" w:rsidRPr="00800F29" w:rsidRDefault="00507EBD" w:rsidP="00507EBD">
      <w:pPr>
        <w:pStyle w:val="Abstract"/>
        <w:spacing w:line="360" w:lineRule="auto"/>
        <w:ind w:left="0" w:right="289"/>
        <w:rPr>
          <w:i/>
          <w:sz w:val="24"/>
          <w:szCs w:val="24"/>
        </w:rPr>
      </w:pPr>
      <w:r w:rsidRPr="00800F29">
        <w:rPr>
          <w:i/>
          <w:sz w:val="24"/>
          <w:szCs w:val="24"/>
          <w:lang w:val="en-AU"/>
        </w:rPr>
        <w:t>Key</w:t>
      </w:r>
      <w:r w:rsidR="00CF415E" w:rsidRPr="00800F29">
        <w:rPr>
          <w:i/>
          <w:sz w:val="24"/>
          <w:szCs w:val="24"/>
          <w:lang w:val="en-AU"/>
        </w:rPr>
        <w:t xml:space="preserve">words: Willingness to Accept, </w:t>
      </w:r>
      <w:proofErr w:type="spellStart"/>
      <w:r w:rsidR="00CF415E" w:rsidRPr="00800F29">
        <w:rPr>
          <w:i/>
          <w:sz w:val="24"/>
          <w:szCs w:val="24"/>
          <w:lang w:val="en-AU"/>
        </w:rPr>
        <w:t>Wt</w:t>
      </w:r>
      <w:r w:rsidRPr="00800F29">
        <w:rPr>
          <w:i/>
          <w:sz w:val="24"/>
          <w:szCs w:val="24"/>
          <w:lang w:val="en-AU"/>
        </w:rPr>
        <w:t>A</w:t>
      </w:r>
      <w:proofErr w:type="spellEnd"/>
      <w:r w:rsidRPr="00800F29">
        <w:rPr>
          <w:i/>
          <w:sz w:val="24"/>
          <w:szCs w:val="24"/>
          <w:lang w:val="en-AU"/>
        </w:rPr>
        <w:t xml:space="preserve">, biomass, ordinal model, parametric approach, questionnaire, </w:t>
      </w:r>
      <w:r w:rsidRPr="00800F29">
        <w:rPr>
          <w:i/>
          <w:sz w:val="24"/>
          <w:szCs w:val="24"/>
        </w:rPr>
        <w:t>interviewees, public good, external cost, environmental protection, non –market resources</w:t>
      </w:r>
    </w:p>
    <w:p w:rsidR="006A36DD" w:rsidRPr="00800F29" w:rsidRDefault="006A36DD">
      <w:pPr>
        <w:rPr>
          <w:rFonts w:ascii="Times New Roman" w:hAnsi="Times New Roman" w:cs="Times New Roman"/>
          <w:lang w:val="en-US"/>
        </w:rPr>
      </w:pPr>
    </w:p>
    <w:p w:rsidR="00800F29" w:rsidRPr="00800F29" w:rsidRDefault="00800F29" w:rsidP="00800F29">
      <w:pPr>
        <w:rPr>
          <w:rFonts w:ascii="Times New Roman" w:hAnsi="Times New Roman" w:cs="Times New Roman"/>
          <w:b/>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b/>
          <w:sz w:val="24"/>
          <w:szCs w:val="24"/>
          <w:lang w:val="en-AU"/>
        </w:rPr>
        <w:lastRenderedPageBreak/>
        <w:t>Introduction</w:t>
      </w:r>
    </w:p>
    <w:p w:rsidR="00800F29" w:rsidRPr="002967B5" w:rsidRDefault="00800F29" w:rsidP="00800F29">
      <w:pPr>
        <w:jc w:val="both"/>
        <w:rPr>
          <w:rFonts w:ascii="Times New Roman" w:hAnsi="Times New Roman" w:cs="Times New Roman"/>
          <w:bCs/>
          <w:iCs/>
          <w:sz w:val="24"/>
          <w:szCs w:val="24"/>
          <w:lang w:val="en-AU"/>
        </w:rPr>
      </w:pPr>
      <w:r w:rsidRPr="002967B5">
        <w:rPr>
          <w:rFonts w:ascii="Times New Roman" w:hAnsi="Times New Roman" w:cs="Times New Roman"/>
          <w:bCs/>
          <w:iCs/>
          <w:sz w:val="24"/>
          <w:szCs w:val="24"/>
          <w:lang w:val="en-AU"/>
        </w:rPr>
        <w:t>The Contingent Valuation Method (CVM) is a survey-based technique, frequently used in Experimental Economics, especially useful for the valuation of non-market resources/goods/services, and cultural heritage objects (of aesthetic, historic, scientific or social value), such as conservation of monumental remains and preservation of the physical and anthropogenic environment [1-2]. The basic partial techniques used in CV</w:t>
      </w:r>
      <w:r w:rsidR="00597BBA">
        <w:rPr>
          <w:rFonts w:ascii="Times New Roman" w:hAnsi="Times New Roman" w:cs="Times New Roman"/>
          <w:bCs/>
          <w:iCs/>
          <w:sz w:val="24"/>
          <w:szCs w:val="24"/>
          <w:lang w:val="en-AU"/>
        </w:rPr>
        <w:t>M are (</w:t>
      </w:r>
      <w:proofErr w:type="spellStart"/>
      <w:r w:rsidR="00597BBA">
        <w:rPr>
          <w:rFonts w:ascii="Times New Roman" w:hAnsi="Times New Roman" w:cs="Times New Roman"/>
          <w:bCs/>
          <w:iCs/>
          <w:sz w:val="24"/>
          <w:szCs w:val="24"/>
          <w:lang w:val="en-AU"/>
        </w:rPr>
        <w:t>i</w:t>
      </w:r>
      <w:proofErr w:type="spellEnd"/>
      <w:r w:rsidR="00597BBA">
        <w:rPr>
          <w:rFonts w:ascii="Times New Roman" w:hAnsi="Times New Roman" w:cs="Times New Roman"/>
          <w:bCs/>
          <w:iCs/>
          <w:sz w:val="24"/>
          <w:szCs w:val="24"/>
          <w:lang w:val="en-AU"/>
        </w:rPr>
        <w:t>) willingness to pay (</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P</w:t>
      </w:r>
      <w:proofErr w:type="spellEnd"/>
      <w:r w:rsidRPr="002967B5">
        <w:rPr>
          <w:rFonts w:ascii="Times New Roman" w:hAnsi="Times New Roman" w:cs="Times New Roman"/>
          <w:bCs/>
          <w:iCs/>
          <w:sz w:val="24"/>
          <w:szCs w:val="24"/>
          <w:lang w:val="en-AU"/>
        </w:rPr>
        <w:t>), which is the maximum monetary amount that an individual would pay to obtain/preserve a good, an</w:t>
      </w:r>
      <w:r w:rsidR="00597BBA">
        <w:rPr>
          <w:rFonts w:ascii="Times New Roman" w:hAnsi="Times New Roman" w:cs="Times New Roman"/>
          <w:bCs/>
          <w:iCs/>
          <w:sz w:val="24"/>
          <w:szCs w:val="24"/>
          <w:lang w:val="en-AU"/>
        </w:rPr>
        <w:t>d (ii) willingness to accept (</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A</w:t>
      </w:r>
      <w:proofErr w:type="spellEnd"/>
      <w:r w:rsidRPr="002967B5">
        <w:rPr>
          <w:rFonts w:ascii="Times New Roman" w:hAnsi="Times New Roman" w:cs="Times New Roman"/>
          <w:bCs/>
          <w:iCs/>
          <w:sz w:val="24"/>
          <w:szCs w:val="24"/>
          <w:lang w:val="en-AU"/>
        </w:rPr>
        <w:t>) compensation, which is the minimum monetary amount required to re</w:t>
      </w:r>
      <w:r w:rsidR="00597BBA">
        <w:rPr>
          <w:rFonts w:ascii="Times New Roman" w:hAnsi="Times New Roman" w:cs="Times New Roman"/>
          <w:bCs/>
          <w:iCs/>
          <w:sz w:val="24"/>
          <w:szCs w:val="24"/>
          <w:lang w:val="en-AU"/>
        </w:rPr>
        <w:t xml:space="preserve">linquish the good. Therefore, </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P</w:t>
      </w:r>
      <w:proofErr w:type="spellEnd"/>
      <w:r w:rsidRPr="002967B5">
        <w:rPr>
          <w:rFonts w:ascii="Times New Roman" w:hAnsi="Times New Roman" w:cs="Times New Roman"/>
          <w:bCs/>
          <w:iCs/>
          <w:sz w:val="24"/>
          <w:szCs w:val="24"/>
          <w:lang w:val="en-AU"/>
        </w:rPr>
        <w:t xml:space="preserve"> provides a purchase price, relevant for valuing the pr</w:t>
      </w:r>
      <w:r w:rsidR="00597BBA">
        <w:rPr>
          <w:rFonts w:ascii="Times New Roman" w:hAnsi="Times New Roman" w:cs="Times New Roman"/>
          <w:bCs/>
          <w:iCs/>
          <w:sz w:val="24"/>
          <w:szCs w:val="24"/>
          <w:lang w:val="en-AU"/>
        </w:rPr>
        <w:t xml:space="preserve">oposed gain of the good while </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A</w:t>
      </w:r>
      <w:proofErr w:type="spellEnd"/>
      <w:r w:rsidRPr="002967B5">
        <w:rPr>
          <w:rFonts w:ascii="Times New Roman" w:hAnsi="Times New Roman" w:cs="Times New Roman"/>
          <w:bCs/>
          <w:iCs/>
          <w:sz w:val="24"/>
          <w:szCs w:val="24"/>
          <w:lang w:val="en-AU"/>
        </w:rPr>
        <w:t xml:space="preserve"> provides a selling price, relevant for valuing the proposed loss of the good. According to classic economic theory, a s</w:t>
      </w:r>
      <w:r w:rsidR="00597BBA">
        <w:rPr>
          <w:rFonts w:ascii="Times New Roman" w:hAnsi="Times New Roman" w:cs="Times New Roman"/>
          <w:bCs/>
          <w:iCs/>
          <w:sz w:val="24"/>
          <w:szCs w:val="24"/>
          <w:lang w:val="en-AU"/>
        </w:rPr>
        <w:t xml:space="preserve">ignificant difference between </w:t>
      </w:r>
      <w:proofErr w:type="spellStart"/>
      <w:r w:rsidR="00597BBA">
        <w:rPr>
          <w:rFonts w:ascii="Times New Roman" w:hAnsi="Times New Roman" w:cs="Times New Roman"/>
          <w:bCs/>
          <w:iCs/>
          <w:sz w:val="24"/>
          <w:szCs w:val="24"/>
          <w:lang w:val="en-AU"/>
        </w:rPr>
        <w:t>WtP</w:t>
      </w:r>
      <w:proofErr w:type="spellEnd"/>
      <w:r w:rsidR="00597BBA">
        <w:rPr>
          <w:rFonts w:ascii="Times New Roman" w:hAnsi="Times New Roman" w:cs="Times New Roman"/>
          <w:bCs/>
          <w:iCs/>
          <w:sz w:val="24"/>
          <w:szCs w:val="24"/>
          <w:lang w:val="en-AU"/>
        </w:rPr>
        <w:t xml:space="preserve"> and </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A</w:t>
      </w:r>
      <w:proofErr w:type="spellEnd"/>
      <w:r w:rsidRPr="002967B5">
        <w:rPr>
          <w:rFonts w:ascii="Times New Roman" w:hAnsi="Times New Roman" w:cs="Times New Roman"/>
          <w:bCs/>
          <w:iCs/>
          <w:sz w:val="24"/>
          <w:szCs w:val="24"/>
          <w:lang w:val="en-AU"/>
        </w:rPr>
        <w:t xml:space="preserve"> should not occur, on condition that there is (</w:t>
      </w:r>
      <w:proofErr w:type="spellStart"/>
      <w:r w:rsidRPr="002967B5">
        <w:rPr>
          <w:rFonts w:ascii="Times New Roman" w:hAnsi="Times New Roman" w:cs="Times New Roman"/>
          <w:bCs/>
          <w:iCs/>
          <w:sz w:val="24"/>
          <w:szCs w:val="24"/>
          <w:lang w:val="en-AU"/>
        </w:rPr>
        <w:t>i</w:t>
      </w:r>
      <w:proofErr w:type="spellEnd"/>
      <w:r w:rsidRPr="002967B5">
        <w:rPr>
          <w:rFonts w:ascii="Times New Roman" w:hAnsi="Times New Roman" w:cs="Times New Roman"/>
          <w:bCs/>
          <w:iCs/>
          <w:sz w:val="24"/>
          <w:szCs w:val="24"/>
          <w:lang w:val="en-AU"/>
        </w:rPr>
        <w:t>) no transaction cost, (ii) perfect information about goods/services and corresponding prices, (iii) no income effect, (iv) a market that engenders truthful revelation of preferences. Although these conditions were generally met in several economic experiments that used inexpensive market goods with readily avai</w:t>
      </w:r>
      <w:r w:rsidR="00597BBA">
        <w:rPr>
          <w:rFonts w:ascii="Times New Roman" w:hAnsi="Times New Roman" w:cs="Times New Roman"/>
          <w:bCs/>
          <w:iCs/>
          <w:sz w:val="24"/>
          <w:szCs w:val="24"/>
          <w:lang w:val="en-AU"/>
        </w:rPr>
        <w:t xml:space="preserve">lable substitutes, the ratios </w:t>
      </w:r>
      <w:proofErr w:type="spellStart"/>
      <w:r w:rsidR="00597BBA">
        <w:rPr>
          <w:rFonts w:ascii="Times New Roman" w:hAnsi="Times New Roman" w:cs="Times New Roman"/>
          <w:bCs/>
          <w:iCs/>
          <w:sz w:val="24"/>
          <w:szCs w:val="24"/>
          <w:lang w:val="en-AU"/>
        </w:rPr>
        <w:t>WtA</w:t>
      </w:r>
      <w:proofErr w:type="spellEnd"/>
      <w:r w:rsidR="00597BBA">
        <w:rPr>
          <w:rFonts w:ascii="Times New Roman" w:hAnsi="Times New Roman" w:cs="Times New Roman"/>
          <w:bCs/>
          <w:iCs/>
          <w:sz w:val="24"/>
          <w:szCs w:val="24"/>
          <w:lang w:val="en-AU"/>
        </w:rPr>
        <w:t>/</w:t>
      </w:r>
      <w:proofErr w:type="spellStart"/>
      <w:r w:rsidR="00597BBA">
        <w:rPr>
          <w:rFonts w:ascii="Times New Roman" w:hAnsi="Times New Roman" w:cs="Times New Roman"/>
          <w:bCs/>
          <w:iCs/>
          <w:sz w:val="24"/>
          <w:szCs w:val="24"/>
          <w:lang w:val="en-AU"/>
        </w:rPr>
        <w:t>Wt</w:t>
      </w:r>
      <w:r w:rsidRPr="002967B5">
        <w:rPr>
          <w:rFonts w:ascii="Times New Roman" w:hAnsi="Times New Roman" w:cs="Times New Roman"/>
          <w:bCs/>
          <w:iCs/>
          <w:sz w:val="24"/>
          <w:szCs w:val="24"/>
          <w:lang w:val="en-AU"/>
        </w:rPr>
        <w:t>P</w:t>
      </w:r>
      <w:proofErr w:type="spellEnd"/>
      <w:r w:rsidRPr="002967B5">
        <w:rPr>
          <w:rFonts w:ascii="Times New Roman" w:hAnsi="Times New Roman" w:cs="Times New Roman"/>
          <w:bCs/>
          <w:iCs/>
          <w:sz w:val="24"/>
          <w:szCs w:val="24"/>
          <w:lang w:val="en-AU"/>
        </w:rPr>
        <w:t xml:space="preserve"> obtained were significantly greater that unity. This result was attributed to the fact that participants in these experiments lacked market experience [3].Contingent Valuation Method is the first technique of hypothetical experiments using a questionnaire applied to assess the economic value of public goods and services and is the predominant assessment technique in the scientific field of Experimental Economics.</w:t>
      </w:r>
    </w:p>
    <w:p w:rsidR="00800F29" w:rsidRPr="002967B5" w:rsidRDefault="00800F29" w:rsidP="00800F29">
      <w:pPr>
        <w:jc w:val="both"/>
        <w:rPr>
          <w:rFonts w:ascii="Times New Roman" w:hAnsi="Times New Roman" w:cs="Times New Roman"/>
          <w:bCs/>
          <w:iCs/>
          <w:sz w:val="24"/>
          <w:szCs w:val="24"/>
          <w:lang w:val="en-AU"/>
        </w:rPr>
      </w:pPr>
      <w:r w:rsidRPr="002967B5">
        <w:rPr>
          <w:rFonts w:ascii="Times New Roman" w:hAnsi="Times New Roman" w:cs="Times New Roman"/>
          <w:bCs/>
          <w:iCs/>
          <w:sz w:val="24"/>
          <w:szCs w:val="24"/>
          <w:lang w:val="en-AU"/>
        </w:rPr>
        <w:t>The economic value of natural resources is often defined as the value of the goods and the services they offer. The environment economics have developed a series of methods for assessment of the monetary price of the environmental goods and services, which are based on investigation of the public preferences and reflect the practical need of translation of the monetary amount into management policies, in which the public concession and participation in the process of decision making are indispensable</w:t>
      </w:r>
      <w:r w:rsidR="00597BBA">
        <w:rPr>
          <w:rFonts w:ascii="Times New Roman" w:hAnsi="Times New Roman" w:cs="Times New Roman"/>
          <w:bCs/>
          <w:iCs/>
          <w:sz w:val="24"/>
          <w:szCs w:val="24"/>
          <w:lang w:val="en-AU"/>
        </w:rPr>
        <w:t xml:space="preserve"> [4-5]</w:t>
      </w:r>
      <w:r w:rsidRPr="002967B5">
        <w:rPr>
          <w:rFonts w:ascii="Times New Roman" w:hAnsi="Times New Roman" w:cs="Times New Roman"/>
          <w:bCs/>
          <w:iCs/>
          <w:sz w:val="24"/>
          <w:szCs w:val="24"/>
          <w:lang w:val="en-AU"/>
        </w:rPr>
        <w:t>.</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By the term Biomass we mean the biodegradable products fraction, wastes and leftovers coming from agricultural, plants and animal substances inclusive, the forestall and the like industrial plant, as well as the biodegradable fraction of industrial wastes and urban effluents and sewage wastes</w:t>
      </w:r>
      <w:r w:rsidR="00597BBA">
        <w:rPr>
          <w:rFonts w:ascii="Times New Roman" w:hAnsi="Times New Roman" w:cs="Times New Roman"/>
          <w:sz w:val="24"/>
          <w:szCs w:val="24"/>
          <w:lang w:val="en-AU"/>
        </w:rPr>
        <w:t xml:space="preserve"> [6-8]</w:t>
      </w:r>
      <w:r w:rsidRPr="00800F29">
        <w:rPr>
          <w:rFonts w:ascii="Times New Roman" w:hAnsi="Times New Roman" w:cs="Times New Roman"/>
          <w:sz w:val="24"/>
          <w:szCs w:val="24"/>
          <w:lang w:val="en-AU"/>
        </w:rPr>
        <w:t xml:space="preserve">. </w:t>
      </w:r>
    </w:p>
    <w:p w:rsidR="00800F29" w:rsidRPr="00800F29" w:rsidRDefault="00800F29" w:rsidP="00800F29">
      <w:pPr>
        <w:jc w:val="both"/>
        <w:rPr>
          <w:rFonts w:ascii="Times New Roman" w:hAnsi="Times New Roman" w:cs="Times New Roman"/>
          <w:b/>
          <w:sz w:val="24"/>
          <w:szCs w:val="24"/>
          <w:lang w:val="en-AU"/>
        </w:rPr>
      </w:pPr>
      <w:r w:rsidRPr="00800F29">
        <w:rPr>
          <w:rFonts w:ascii="Times New Roman" w:hAnsi="Times New Roman" w:cs="Times New Roman"/>
          <w:b/>
          <w:sz w:val="24"/>
          <w:szCs w:val="24"/>
          <w:lang w:val="en-AU"/>
        </w:rPr>
        <w:t>Implementation</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We compare the results of the descriptive statistical analysis among the answers of the interviewees in the mainland Greece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and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The similarities and differences in the attitude of these two categories of rural population are outlined. We observe that the interviewees in the previous year owned bigger areas of land (more </w:t>
      </w:r>
      <w:proofErr w:type="spellStart"/>
      <w:r w:rsidRPr="00800F29">
        <w:rPr>
          <w:rFonts w:ascii="Times New Roman" w:hAnsi="Times New Roman" w:cs="Times New Roman"/>
          <w:sz w:val="24"/>
          <w:szCs w:val="24"/>
          <w:lang w:val="en-AU"/>
        </w:rPr>
        <w:t>stremmas</w:t>
      </w:r>
      <w:proofErr w:type="spellEnd"/>
      <w:r w:rsidRPr="00800F29">
        <w:rPr>
          <w:rFonts w:ascii="Times New Roman" w:hAnsi="Times New Roman" w:cs="Times New Roman"/>
          <w:sz w:val="24"/>
          <w:szCs w:val="24"/>
          <w:lang w:val="en-AU"/>
        </w:rPr>
        <w:t xml:space="preserve">) per cultivated item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compared to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Also the interviewees stated that they had almost the same number of </w:t>
      </w:r>
      <w:proofErr w:type="spellStart"/>
      <w:r w:rsidRPr="00800F29">
        <w:rPr>
          <w:rFonts w:ascii="Times New Roman" w:hAnsi="Times New Roman" w:cs="Times New Roman"/>
          <w:sz w:val="24"/>
          <w:szCs w:val="24"/>
          <w:lang w:val="en-AU"/>
        </w:rPr>
        <w:t>stremmas</w:t>
      </w:r>
      <w:proofErr w:type="spellEnd"/>
      <w:r w:rsidRPr="00800F29">
        <w:rPr>
          <w:rFonts w:ascii="Times New Roman" w:hAnsi="Times New Roman" w:cs="Times New Roman"/>
          <w:sz w:val="24"/>
          <w:szCs w:val="24"/>
          <w:lang w:val="en-AU"/>
        </w:rPr>
        <w:t xml:space="preserve"> against the </w:t>
      </w:r>
      <w:r w:rsidRPr="00800F29">
        <w:rPr>
          <w:rFonts w:ascii="Times New Roman" w:hAnsi="Times New Roman" w:cs="Times New Roman"/>
          <w:sz w:val="24"/>
          <w:szCs w:val="24"/>
          <w:lang w:val="en-AU"/>
        </w:rPr>
        <w:lastRenderedPageBreak/>
        <w:t xml:space="preserve">average </w:t>
      </w:r>
      <w:proofErr w:type="spellStart"/>
      <w:r w:rsidRPr="00800F29">
        <w:rPr>
          <w:rFonts w:ascii="Times New Roman" w:hAnsi="Times New Roman" w:cs="Times New Roman"/>
          <w:sz w:val="24"/>
          <w:szCs w:val="24"/>
          <w:lang w:val="en-AU"/>
        </w:rPr>
        <w:t>stremmas</w:t>
      </w:r>
      <w:proofErr w:type="spellEnd"/>
      <w:r w:rsidRPr="00800F29">
        <w:rPr>
          <w:rFonts w:ascii="Times New Roman" w:hAnsi="Times New Roman" w:cs="Times New Roman"/>
          <w:sz w:val="24"/>
          <w:szCs w:val="24"/>
          <w:lang w:val="en-AU"/>
        </w:rPr>
        <w:t xml:space="preserve"> owned by the farmers in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Most of the interviewees in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utilize the crop leftovers in other applications but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gather it for fuel at home. It is worth noting that management of the rejected biomass does not differ among the above areas</w:t>
      </w:r>
      <w:r w:rsidR="00597BBA">
        <w:rPr>
          <w:rFonts w:ascii="Times New Roman" w:hAnsi="Times New Roman" w:cs="Times New Roman"/>
          <w:sz w:val="24"/>
          <w:szCs w:val="24"/>
          <w:lang w:val="en-AU"/>
        </w:rPr>
        <w:t xml:space="preserve"> [9]</w:t>
      </w:r>
      <w:r w:rsidRPr="00800F29">
        <w:rPr>
          <w:rFonts w:ascii="Times New Roman" w:hAnsi="Times New Roman" w:cs="Times New Roman"/>
          <w:sz w:val="24"/>
          <w:szCs w:val="24"/>
          <w:lang w:val="en-AU"/>
        </w:rPr>
        <w:t>.</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 xml:space="preserve">On the contrary, however, we notice that the minimum compensation amount each interviewee asks in order they may be in a position to gather and carry away the leftovers differs among the areas. More specifically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the farmers ask for higher remuneration compared to farmers in the </w:t>
      </w:r>
      <w:r>
        <w:rPr>
          <w:rFonts w:ascii="Times New Roman" w:hAnsi="Times New Roman" w:cs="Times New Roman"/>
          <w:sz w:val="24"/>
          <w:szCs w:val="24"/>
          <w:lang w:val="en-AU"/>
        </w:rPr>
        <w:t xml:space="preserve">Thessaly </w:t>
      </w:r>
      <w:r w:rsidRPr="00800F29">
        <w:rPr>
          <w:rFonts w:ascii="Times New Roman" w:hAnsi="Times New Roman" w:cs="Times New Roman"/>
          <w:sz w:val="24"/>
          <w:szCs w:val="24"/>
          <w:lang w:val="en-AU"/>
        </w:rPr>
        <w:t>area. However, the willingness shown by the farmers for participation in gathering the crops without any extra remuneration does not differ among the areas.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As regards the income of each interviewee farmer against that of inhabitants</w:t>
      </w:r>
      <w:r w:rsidR="002967B5">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 xml:space="preserve">in other areas of similar agricultural exploitation it does not differ between the two area categories, as the results show. Additionally we notice that the percentage of the interviewees’ income originating in farming is bigger in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compared to that on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In </w:t>
      </w:r>
      <w:r w:rsidR="00597BBA">
        <w:rPr>
          <w:rFonts w:ascii="Times New Roman" w:hAnsi="Times New Roman" w:cs="Times New Roman"/>
          <w:sz w:val="24"/>
          <w:szCs w:val="24"/>
          <w:lang w:val="en-AU"/>
        </w:rPr>
        <w:t xml:space="preserve">order we correlate the amount </w:t>
      </w:r>
      <w:proofErr w:type="spellStart"/>
      <w:r w:rsidR="00597BBA">
        <w:rPr>
          <w:rFonts w:ascii="Times New Roman" w:hAnsi="Times New Roman" w:cs="Times New Roman"/>
          <w:sz w:val="24"/>
          <w:szCs w:val="24"/>
          <w:lang w:val="en-AU"/>
        </w:rPr>
        <w:t>Wt</w:t>
      </w:r>
      <w:r w:rsidRPr="00800F29">
        <w:rPr>
          <w:rFonts w:ascii="Times New Roman" w:hAnsi="Times New Roman" w:cs="Times New Roman"/>
          <w:sz w:val="24"/>
          <w:szCs w:val="24"/>
          <w:lang w:val="en-AU"/>
        </w:rPr>
        <w:t>A</w:t>
      </w:r>
      <w:proofErr w:type="spellEnd"/>
      <w:r w:rsidRPr="00800F29">
        <w:rPr>
          <w:rFonts w:ascii="Times New Roman" w:hAnsi="Times New Roman" w:cs="Times New Roman"/>
          <w:sz w:val="24"/>
          <w:szCs w:val="24"/>
          <w:lang w:val="en-AU"/>
        </w:rPr>
        <w:t xml:space="preserve"> with the rest of the parameters of ou</w:t>
      </w:r>
      <w:r w:rsidR="00597BBA">
        <w:rPr>
          <w:rFonts w:ascii="Times New Roman" w:hAnsi="Times New Roman" w:cs="Times New Roman"/>
          <w:sz w:val="24"/>
          <w:szCs w:val="24"/>
          <w:lang w:val="en-AU"/>
        </w:rPr>
        <w:t>r example, we apply the model ‘ordinal regression’</w:t>
      </w:r>
      <w:r w:rsidRPr="00800F29">
        <w:rPr>
          <w:rFonts w:ascii="Times New Roman" w:hAnsi="Times New Roman" w:cs="Times New Roman"/>
          <w:sz w:val="24"/>
          <w:szCs w:val="24"/>
          <w:lang w:val="en-AU"/>
        </w:rPr>
        <w:t>, given</w:t>
      </w:r>
      <w:r w:rsidR="00597BBA">
        <w:rPr>
          <w:rFonts w:ascii="Times New Roman" w:hAnsi="Times New Roman" w:cs="Times New Roman"/>
          <w:sz w:val="24"/>
          <w:szCs w:val="24"/>
          <w:lang w:val="en-AU"/>
        </w:rPr>
        <w:t xml:space="preserve"> that the dependent variable (</w:t>
      </w:r>
      <w:proofErr w:type="spellStart"/>
      <w:r w:rsidR="00597BBA">
        <w:rPr>
          <w:rFonts w:ascii="Times New Roman" w:hAnsi="Times New Roman" w:cs="Times New Roman"/>
          <w:sz w:val="24"/>
          <w:szCs w:val="24"/>
          <w:lang w:val="en-AU"/>
        </w:rPr>
        <w:t>Wt</w:t>
      </w:r>
      <w:r w:rsidRPr="00800F29">
        <w:rPr>
          <w:rFonts w:ascii="Times New Roman" w:hAnsi="Times New Roman" w:cs="Times New Roman"/>
          <w:sz w:val="24"/>
          <w:szCs w:val="24"/>
          <w:lang w:val="en-AU"/>
        </w:rPr>
        <w:t>A</w:t>
      </w:r>
      <w:proofErr w:type="spellEnd"/>
      <w:r w:rsidRPr="00800F29">
        <w:rPr>
          <w:rFonts w:ascii="Times New Roman" w:hAnsi="Times New Roman" w:cs="Times New Roman"/>
          <w:sz w:val="24"/>
          <w:szCs w:val="24"/>
          <w:lang w:val="en-AU"/>
        </w:rPr>
        <w:t>)</w:t>
      </w:r>
      <w:r w:rsidR="00597BBA">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is scaled</w:t>
      </w:r>
      <w:r w:rsidR="002967B5">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and the independent variables are discreet (nominal or scaled)</w:t>
      </w:r>
      <w:r w:rsidR="00597BBA">
        <w:rPr>
          <w:rFonts w:ascii="Times New Roman" w:hAnsi="Times New Roman" w:cs="Times New Roman"/>
          <w:sz w:val="24"/>
          <w:szCs w:val="24"/>
          <w:lang w:val="en-AU"/>
        </w:rPr>
        <w:t xml:space="preserve"> [10-11]</w:t>
      </w:r>
      <w:r w:rsidRPr="00800F29">
        <w:rPr>
          <w:rFonts w:ascii="Times New Roman" w:hAnsi="Times New Roman" w:cs="Times New Roman"/>
          <w:sz w:val="24"/>
          <w:szCs w:val="24"/>
          <w:lang w:val="en-AU"/>
        </w:rPr>
        <w:t xml:space="preserve">.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We conclude that the minimum amount each interviewee is willing to accept as minimal remuneration, is affected by the way these biomass leftovers are managed, the age of the interviewees and the area in which they live. Those interviewees who use such biomass leftovers in alternative applications wish to be remunerated higher compared to those who relinquish such leftovers</w:t>
      </w:r>
      <w:r w:rsidR="00597BBA">
        <w:rPr>
          <w:rFonts w:ascii="Times New Roman" w:hAnsi="Times New Roman" w:cs="Times New Roman"/>
          <w:sz w:val="24"/>
          <w:szCs w:val="24"/>
          <w:lang w:val="en-AU"/>
        </w:rPr>
        <w:t xml:space="preserve"> [12-15]</w:t>
      </w:r>
      <w:r w:rsidRPr="00800F29">
        <w:rPr>
          <w:rFonts w:ascii="Times New Roman" w:hAnsi="Times New Roman" w:cs="Times New Roman"/>
          <w:sz w:val="24"/>
          <w:szCs w:val="24"/>
          <w:lang w:val="en-AU"/>
        </w:rPr>
        <w:t xml:space="preserve">.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interviewees aged 15 to 25 years wish to be remunerated with smaller amounts compared to th</w:t>
      </w:r>
      <w:r w:rsidR="00597BBA">
        <w:rPr>
          <w:rFonts w:ascii="Times New Roman" w:hAnsi="Times New Roman" w:cs="Times New Roman"/>
          <w:sz w:val="24"/>
          <w:szCs w:val="24"/>
          <w:lang w:val="en-AU"/>
        </w:rPr>
        <w:t>ose aged 56 up (p-value=0.045&lt;0.</w:t>
      </w:r>
      <w:r w:rsidRPr="00800F29">
        <w:rPr>
          <w:rFonts w:ascii="Times New Roman" w:hAnsi="Times New Roman" w:cs="Times New Roman"/>
          <w:sz w:val="24"/>
          <w:szCs w:val="24"/>
          <w:lang w:val="en-AU"/>
        </w:rPr>
        <w:t xml:space="preserve">05). Further, we notice that the farmers aged 26 to 40 years wish to be remunerated with higher amounts compared to </w:t>
      </w:r>
      <w:r w:rsidR="00597BBA">
        <w:rPr>
          <w:rFonts w:ascii="Times New Roman" w:hAnsi="Times New Roman" w:cs="Times New Roman"/>
          <w:sz w:val="24"/>
          <w:szCs w:val="24"/>
          <w:lang w:val="en-AU"/>
        </w:rPr>
        <w:t>those of 56 years up (p-value=0.018&lt;0.</w:t>
      </w:r>
      <w:r w:rsidRPr="00800F29">
        <w:rPr>
          <w:rFonts w:ascii="Times New Roman" w:hAnsi="Times New Roman" w:cs="Times New Roman"/>
          <w:sz w:val="24"/>
          <w:szCs w:val="24"/>
          <w:lang w:val="en-AU"/>
        </w:rPr>
        <w:t xml:space="preserve">05). Finally, the interviewees in the </w:t>
      </w:r>
      <w:r>
        <w:rPr>
          <w:rFonts w:ascii="Times New Roman" w:hAnsi="Times New Roman" w:cs="Times New Roman"/>
          <w:sz w:val="24"/>
          <w:szCs w:val="24"/>
          <w:lang w:val="en-AU"/>
        </w:rPr>
        <w:t>Thessaly</w:t>
      </w:r>
      <w:r w:rsidRPr="00800F29">
        <w:rPr>
          <w:rFonts w:ascii="Times New Roman" w:hAnsi="Times New Roman" w:cs="Times New Roman"/>
          <w:sz w:val="24"/>
          <w:szCs w:val="24"/>
          <w:lang w:val="en-AU"/>
        </w:rPr>
        <w:t xml:space="preserve"> area wish to be remunerated with smaller amounts compared to those on the islands of </w:t>
      </w:r>
      <w:r>
        <w:rPr>
          <w:rFonts w:ascii="Times New Roman" w:hAnsi="Times New Roman" w:cs="Times New Roman"/>
          <w:sz w:val="24"/>
          <w:szCs w:val="24"/>
          <w:lang w:val="en-AU"/>
        </w:rPr>
        <w:t>Peloponnese</w:t>
      </w:r>
      <w:r w:rsidRPr="00800F29">
        <w:rPr>
          <w:rFonts w:ascii="Times New Roman" w:hAnsi="Times New Roman" w:cs="Times New Roman"/>
          <w:sz w:val="24"/>
          <w:szCs w:val="24"/>
          <w:lang w:val="en-AU"/>
        </w:rPr>
        <w:t xml:space="preserve">.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ordinal logistic model listed in a broader category of Generalized Linear Models</w:t>
      </w:r>
      <w:r>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for arrangement data. The model is based on the assumption that a latent continuous outcome variable exists and that the observed ordinal outcome results from the continuous discreteness</w:t>
      </w:r>
      <w:r>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 xml:space="preserve">of that subjected to j scaled groups.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specimen of generalized linear models is given here:</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noProof/>
          <w:sz w:val="24"/>
          <w:szCs w:val="24"/>
          <w:lang w:eastAsia="el-GR"/>
        </w:rPr>
        <w:drawing>
          <wp:inline distT="0" distB="0" distL="0" distR="0">
            <wp:extent cx="2886075" cy="552450"/>
            <wp:effectExtent l="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552450"/>
                    </a:xfrm>
                    <a:prstGeom prst="rect">
                      <a:avLst/>
                    </a:prstGeom>
                    <a:noFill/>
                    <a:ln>
                      <a:noFill/>
                    </a:ln>
                  </pic:spPr>
                </pic:pic>
              </a:graphicData>
            </a:graphic>
          </wp:inline>
        </w:drawing>
      </w:r>
      <w:r w:rsidRPr="00800F29">
        <w:rPr>
          <w:rFonts w:ascii="Times New Roman" w:hAnsi="Times New Roman" w:cs="Times New Roman"/>
          <w:sz w:val="24"/>
          <w:szCs w:val="24"/>
          <w:lang w:val="en-AU"/>
        </w:rPr>
        <w:t xml:space="preserve">                 (1)</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lastRenderedPageBreak/>
        <w:t xml:space="preserve">Where: </w:t>
      </w:r>
    </w:p>
    <w:p w:rsidR="00800F29" w:rsidRPr="00800F29" w:rsidRDefault="00800F29" w:rsidP="00800F29">
      <w:pPr>
        <w:jc w:val="both"/>
        <w:rPr>
          <w:rFonts w:ascii="Times New Roman" w:hAnsi="Times New Roman" w:cs="Times New Roman"/>
          <w:sz w:val="24"/>
          <w:szCs w:val="24"/>
          <w:lang w:val="en-AU"/>
        </w:rPr>
      </w:pPr>
      <w:proofErr w:type="spellStart"/>
      <w:proofErr w:type="gramStart"/>
      <w:r w:rsidRPr="00800F29">
        <w:rPr>
          <w:rFonts w:ascii="Times New Roman" w:hAnsi="Times New Roman" w:cs="Times New Roman"/>
          <w:sz w:val="24"/>
          <w:szCs w:val="24"/>
          <w:lang w:val="en-AU"/>
        </w:rPr>
        <w:t>γ</w:t>
      </w:r>
      <w:r w:rsidRPr="00800F29">
        <w:rPr>
          <w:rFonts w:ascii="Times New Roman" w:hAnsi="Times New Roman" w:cs="Times New Roman"/>
          <w:sz w:val="24"/>
          <w:szCs w:val="24"/>
          <w:vertAlign w:val="subscript"/>
          <w:lang w:val="en-AU"/>
        </w:rPr>
        <w:t>i</w:t>
      </w:r>
      <w:proofErr w:type="spellEnd"/>
      <w:r w:rsidRPr="00800F29">
        <w:rPr>
          <w:rFonts w:ascii="Times New Roman" w:hAnsi="Times New Roman" w:cs="Times New Roman"/>
          <w:sz w:val="24"/>
          <w:szCs w:val="24"/>
          <w:lang w:val="en-AU"/>
        </w:rPr>
        <w:t xml:space="preserve"> :</w:t>
      </w:r>
      <w:proofErr w:type="gramEnd"/>
      <w:r w:rsidRPr="00800F29">
        <w:rPr>
          <w:rFonts w:ascii="Times New Roman" w:hAnsi="Times New Roman" w:cs="Times New Roman"/>
          <w:sz w:val="24"/>
          <w:szCs w:val="24"/>
          <w:lang w:val="en-AU"/>
        </w:rPr>
        <w:t xml:space="preserve"> cumulative possibility for category j</w:t>
      </w:r>
    </w:p>
    <w:p w:rsidR="00800F29" w:rsidRPr="00800F29" w:rsidRDefault="00800F29" w:rsidP="00800F29">
      <w:pPr>
        <w:jc w:val="both"/>
        <w:rPr>
          <w:rFonts w:ascii="Times New Roman" w:hAnsi="Times New Roman" w:cs="Times New Roman"/>
          <w:sz w:val="24"/>
          <w:szCs w:val="24"/>
          <w:lang w:val="en-AU"/>
        </w:rPr>
      </w:pPr>
      <w:proofErr w:type="spellStart"/>
      <w:proofErr w:type="gramStart"/>
      <w:r w:rsidRPr="00800F29">
        <w:rPr>
          <w:rFonts w:ascii="Times New Roman" w:hAnsi="Times New Roman" w:cs="Times New Roman"/>
          <w:sz w:val="24"/>
          <w:szCs w:val="24"/>
          <w:lang w:val="en-AU"/>
        </w:rPr>
        <w:t>θ</w:t>
      </w:r>
      <w:r w:rsidRPr="00800F29">
        <w:rPr>
          <w:rFonts w:ascii="Times New Roman" w:hAnsi="Times New Roman" w:cs="Times New Roman"/>
          <w:sz w:val="24"/>
          <w:szCs w:val="24"/>
          <w:vertAlign w:val="subscript"/>
          <w:lang w:val="en-AU"/>
        </w:rPr>
        <w:t>j</w:t>
      </w:r>
      <w:proofErr w:type="spellEnd"/>
      <w:proofErr w:type="gramEnd"/>
      <w:r w:rsidRPr="00800F29">
        <w:rPr>
          <w:rFonts w:ascii="Times New Roman" w:hAnsi="Times New Roman" w:cs="Times New Roman"/>
          <w:sz w:val="24"/>
          <w:szCs w:val="24"/>
          <w:lang w:val="en-AU"/>
        </w:rPr>
        <w:t>: threshold of category j</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β</w:t>
      </w:r>
      <w:r w:rsidRPr="00800F29">
        <w:rPr>
          <w:rFonts w:ascii="Times New Roman" w:hAnsi="Times New Roman" w:cs="Times New Roman"/>
          <w:sz w:val="24"/>
          <w:szCs w:val="24"/>
          <w:vertAlign w:val="subscript"/>
          <w:lang w:val="en-AU"/>
        </w:rPr>
        <w:t>1</w:t>
      </w:r>
      <w:r w:rsidRPr="00800F29">
        <w:rPr>
          <w:rFonts w:ascii="Times New Roman" w:hAnsi="Times New Roman" w:cs="Times New Roman"/>
          <w:sz w:val="24"/>
          <w:szCs w:val="24"/>
          <w:lang w:val="en-AU"/>
        </w:rPr>
        <w:t>…</w:t>
      </w:r>
      <w:proofErr w:type="spellStart"/>
      <w:proofErr w:type="gramStart"/>
      <w:r w:rsidRPr="00800F29">
        <w:rPr>
          <w:rFonts w:ascii="Times New Roman" w:hAnsi="Times New Roman" w:cs="Times New Roman"/>
          <w:sz w:val="24"/>
          <w:szCs w:val="24"/>
          <w:lang w:val="en-AU"/>
        </w:rPr>
        <w:t>β</w:t>
      </w:r>
      <w:r w:rsidRPr="00800F29">
        <w:rPr>
          <w:rFonts w:ascii="Times New Roman" w:hAnsi="Times New Roman" w:cs="Times New Roman"/>
          <w:sz w:val="24"/>
          <w:szCs w:val="24"/>
          <w:vertAlign w:val="subscript"/>
          <w:lang w:val="en-AU"/>
        </w:rPr>
        <w:t>κ</w:t>
      </w:r>
      <w:proofErr w:type="spellEnd"/>
      <w:r w:rsidRPr="00800F29">
        <w:rPr>
          <w:rFonts w:ascii="Times New Roman" w:hAnsi="Times New Roman" w:cs="Times New Roman"/>
          <w:sz w:val="24"/>
          <w:szCs w:val="24"/>
          <w:lang w:val="en-AU"/>
        </w:rPr>
        <w:t xml:space="preserve"> :</w:t>
      </w:r>
      <w:proofErr w:type="gramEnd"/>
      <w:r w:rsidRPr="00800F29">
        <w:rPr>
          <w:rFonts w:ascii="Times New Roman" w:hAnsi="Times New Roman" w:cs="Times New Roman"/>
          <w:sz w:val="24"/>
          <w:szCs w:val="24"/>
          <w:lang w:val="en-AU"/>
        </w:rPr>
        <w:t xml:space="preserve"> reciprocation coefficients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χ</w:t>
      </w:r>
      <w:r w:rsidRPr="00800F29">
        <w:rPr>
          <w:rFonts w:ascii="Times New Roman" w:hAnsi="Times New Roman" w:cs="Times New Roman"/>
          <w:sz w:val="24"/>
          <w:szCs w:val="24"/>
          <w:vertAlign w:val="subscript"/>
          <w:lang w:val="en-AU"/>
        </w:rPr>
        <w:t>1</w:t>
      </w:r>
      <w:r w:rsidRPr="00800F29">
        <w:rPr>
          <w:rFonts w:ascii="Times New Roman" w:hAnsi="Times New Roman" w:cs="Times New Roman"/>
          <w:sz w:val="24"/>
          <w:szCs w:val="24"/>
          <w:lang w:val="en-AU"/>
        </w:rPr>
        <w:t>…</w:t>
      </w:r>
      <w:proofErr w:type="spellStart"/>
      <w:proofErr w:type="gramStart"/>
      <w:r w:rsidRPr="00800F29">
        <w:rPr>
          <w:rFonts w:ascii="Times New Roman" w:hAnsi="Times New Roman" w:cs="Times New Roman"/>
          <w:sz w:val="24"/>
          <w:szCs w:val="24"/>
          <w:lang w:val="en-AU"/>
        </w:rPr>
        <w:t>χ</w:t>
      </w:r>
      <w:r w:rsidRPr="00800F29">
        <w:rPr>
          <w:rFonts w:ascii="Times New Roman" w:hAnsi="Times New Roman" w:cs="Times New Roman"/>
          <w:sz w:val="24"/>
          <w:szCs w:val="24"/>
          <w:vertAlign w:val="subscript"/>
          <w:lang w:val="en-AU"/>
        </w:rPr>
        <w:t>κ</w:t>
      </w:r>
      <w:proofErr w:type="spellEnd"/>
      <w:r w:rsidRPr="00800F29">
        <w:rPr>
          <w:rFonts w:ascii="Times New Roman" w:hAnsi="Times New Roman" w:cs="Times New Roman"/>
          <w:sz w:val="24"/>
          <w:szCs w:val="24"/>
          <w:lang w:val="en-AU"/>
        </w:rPr>
        <w:t xml:space="preserve"> :</w:t>
      </w:r>
      <w:proofErr w:type="gramEnd"/>
      <w:r w:rsidRPr="00800F29">
        <w:rPr>
          <w:rFonts w:ascii="Times New Roman" w:hAnsi="Times New Roman" w:cs="Times New Roman"/>
          <w:sz w:val="24"/>
          <w:szCs w:val="24"/>
          <w:lang w:val="en-AU"/>
        </w:rPr>
        <w:t xml:space="preserve"> predictor variables</w:t>
      </w:r>
    </w:p>
    <w:p w:rsidR="00800F29" w:rsidRPr="00800F29" w:rsidRDefault="00800F29" w:rsidP="00800F29">
      <w:pPr>
        <w:jc w:val="both"/>
        <w:rPr>
          <w:rFonts w:ascii="Times New Roman" w:hAnsi="Times New Roman" w:cs="Times New Roman"/>
          <w:sz w:val="24"/>
          <w:szCs w:val="24"/>
          <w:lang w:val="en-AU"/>
        </w:rPr>
      </w:pPr>
      <w:proofErr w:type="gramStart"/>
      <w:r w:rsidRPr="00800F29">
        <w:rPr>
          <w:rFonts w:ascii="Times New Roman" w:hAnsi="Times New Roman" w:cs="Times New Roman"/>
          <w:sz w:val="24"/>
          <w:szCs w:val="24"/>
          <w:lang w:val="en-AU"/>
        </w:rPr>
        <w:t>κ</w:t>
      </w:r>
      <w:proofErr w:type="gramEnd"/>
      <w:r w:rsidRPr="00800F29">
        <w:rPr>
          <w:rFonts w:ascii="Times New Roman" w:hAnsi="Times New Roman" w:cs="Times New Roman"/>
          <w:sz w:val="24"/>
          <w:szCs w:val="24"/>
          <w:lang w:val="en-AU"/>
        </w:rPr>
        <w:t>: number of predictions</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specimen numerator determines the location of the model while the denominator determines the scale. The terms τ</w:t>
      </w:r>
      <w:r w:rsidRPr="006B7E16">
        <w:rPr>
          <w:rFonts w:ascii="Times New Roman" w:hAnsi="Times New Roman" w:cs="Times New Roman"/>
          <w:sz w:val="24"/>
          <w:szCs w:val="24"/>
          <w:vertAlign w:val="subscript"/>
          <w:lang w:val="en-AU"/>
        </w:rPr>
        <w:t>1</w:t>
      </w:r>
      <w:proofErr w:type="gramStart"/>
      <w:r w:rsidRPr="00800F29">
        <w:rPr>
          <w:rFonts w:ascii="Times New Roman" w:hAnsi="Times New Roman" w:cs="Times New Roman"/>
          <w:sz w:val="24"/>
          <w:szCs w:val="24"/>
          <w:lang w:val="en-AU"/>
        </w:rPr>
        <w:t>..</w:t>
      </w:r>
      <w:proofErr w:type="spellStart"/>
      <w:r w:rsidRPr="00800F29">
        <w:rPr>
          <w:rFonts w:ascii="Times New Roman" w:hAnsi="Times New Roman" w:cs="Times New Roman"/>
          <w:sz w:val="24"/>
          <w:szCs w:val="24"/>
          <w:lang w:val="en-AU"/>
        </w:rPr>
        <w:t>τ</w:t>
      </w:r>
      <w:r w:rsidRPr="006B7E16">
        <w:rPr>
          <w:rFonts w:ascii="Times New Roman" w:hAnsi="Times New Roman" w:cs="Times New Roman"/>
          <w:sz w:val="24"/>
          <w:szCs w:val="24"/>
          <w:vertAlign w:val="subscript"/>
          <w:lang w:val="en-AU"/>
        </w:rPr>
        <w:t>m</w:t>
      </w:r>
      <w:proofErr w:type="spellEnd"/>
      <w:proofErr w:type="gramEnd"/>
      <w:r w:rsidRPr="00800F29">
        <w:rPr>
          <w:rFonts w:ascii="Times New Roman" w:hAnsi="Times New Roman" w:cs="Times New Roman"/>
          <w:sz w:val="24"/>
          <w:szCs w:val="24"/>
          <w:lang w:val="en-AU"/>
        </w:rPr>
        <w:t xml:space="preserve"> are coefficients for the scale components while the terms Ζ</w:t>
      </w:r>
      <w:r w:rsidRPr="006B7E16">
        <w:rPr>
          <w:rFonts w:ascii="Times New Roman" w:hAnsi="Times New Roman" w:cs="Times New Roman"/>
          <w:sz w:val="24"/>
          <w:szCs w:val="24"/>
          <w:vertAlign w:val="subscript"/>
          <w:lang w:val="en-AU"/>
        </w:rPr>
        <w:t>1</w:t>
      </w:r>
      <w:r w:rsidRPr="00800F29">
        <w:rPr>
          <w:rFonts w:ascii="Times New Roman" w:hAnsi="Times New Roman" w:cs="Times New Roman"/>
          <w:sz w:val="24"/>
          <w:szCs w:val="24"/>
          <w:lang w:val="en-AU"/>
        </w:rPr>
        <w:t>…</w:t>
      </w:r>
      <w:proofErr w:type="spellStart"/>
      <w:r w:rsidRPr="00800F29">
        <w:rPr>
          <w:rFonts w:ascii="Times New Roman" w:hAnsi="Times New Roman" w:cs="Times New Roman"/>
          <w:sz w:val="24"/>
          <w:szCs w:val="24"/>
          <w:lang w:val="en-AU"/>
        </w:rPr>
        <w:t>Ζ</w:t>
      </w:r>
      <w:r w:rsidRPr="006B7E16">
        <w:rPr>
          <w:rFonts w:ascii="Times New Roman" w:hAnsi="Times New Roman" w:cs="Times New Roman"/>
          <w:sz w:val="24"/>
          <w:szCs w:val="24"/>
          <w:vertAlign w:val="subscript"/>
          <w:lang w:val="en-AU"/>
        </w:rPr>
        <w:t>m</w:t>
      </w:r>
      <w:proofErr w:type="spellEnd"/>
      <w:r w:rsidRPr="00800F29">
        <w:rPr>
          <w:rFonts w:ascii="Times New Roman" w:hAnsi="Times New Roman" w:cs="Times New Roman"/>
          <w:sz w:val="24"/>
          <w:szCs w:val="24"/>
          <w:lang w:val="en-AU"/>
        </w:rPr>
        <w:t xml:space="preserve"> represent the m predictor variables for the scaled components. The scaled components are the cause of differences in the variable of different values of the predictor variables.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question formulates the Willingness to Accept (</w:t>
      </w:r>
      <w:proofErr w:type="spellStart"/>
      <w:r w:rsidRPr="00800F29">
        <w:rPr>
          <w:rFonts w:ascii="Times New Roman" w:hAnsi="Times New Roman" w:cs="Times New Roman"/>
          <w:sz w:val="24"/>
          <w:szCs w:val="24"/>
          <w:lang w:val="en-AU"/>
        </w:rPr>
        <w:t>W</w:t>
      </w:r>
      <w:r w:rsidR="006B7E16">
        <w:rPr>
          <w:rFonts w:ascii="Times New Roman" w:hAnsi="Times New Roman" w:cs="Times New Roman"/>
          <w:sz w:val="24"/>
          <w:szCs w:val="24"/>
          <w:lang w:val="en-AU"/>
        </w:rPr>
        <w:t>t</w:t>
      </w:r>
      <w:r w:rsidRPr="00800F29">
        <w:rPr>
          <w:rFonts w:ascii="Times New Roman" w:hAnsi="Times New Roman" w:cs="Times New Roman"/>
          <w:sz w:val="24"/>
          <w:szCs w:val="24"/>
          <w:lang w:val="en-AU"/>
        </w:rPr>
        <w:t>A</w:t>
      </w:r>
      <w:proofErr w:type="spellEnd"/>
      <w:r w:rsidRPr="00800F29">
        <w:rPr>
          <w:rFonts w:ascii="Times New Roman" w:hAnsi="Times New Roman" w:cs="Times New Roman"/>
          <w:sz w:val="24"/>
          <w:szCs w:val="24"/>
          <w:lang w:val="en-AU"/>
        </w:rPr>
        <w:t>)</w:t>
      </w:r>
      <w:r w:rsidR="002967B5">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 xml:space="preserve">of the interviewee that is their wish for remuneration in order to allow someone to gather and take away the leftovers of the agricultural exploitation. It is impressive that the majority of the interviewees, i.e.71.7% of the specimen, answered that they would relinquish their farming leftovers without asking for any monetary remuneration. Out of the remaining 28.3% of the specimen, 11.7% answered that they would ask for 1-5 euro to relinquish the farming leftovers in each cultivated </w:t>
      </w:r>
      <w:proofErr w:type="spellStart"/>
      <w:r w:rsidRPr="00800F29">
        <w:rPr>
          <w:rFonts w:ascii="Times New Roman" w:hAnsi="Times New Roman" w:cs="Times New Roman"/>
          <w:sz w:val="24"/>
          <w:szCs w:val="24"/>
          <w:lang w:val="en-AU"/>
        </w:rPr>
        <w:t>stremma</w:t>
      </w:r>
      <w:proofErr w:type="spellEnd"/>
      <w:r w:rsidRPr="00800F29">
        <w:rPr>
          <w:rFonts w:ascii="Times New Roman" w:hAnsi="Times New Roman" w:cs="Times New Roman"/>
          <w:sz w:val="24"/>
          <w:szCs w:val="24"/>
          <w:lang w:val="en-AU"/>
        </w:rPr>
        <w:t xml:space="preserve"> on a yearly basis. Similarly another 11.7% of the specimen answered that they would ask for 6-10 euro for the same above reason. Finally</w:t>
      </w:r>
      <w:r w:rsidR="00597BBA">
        <w:rPr>
          <w:rFonts w:ascii="Times New Roman" w:hAnsi="Times New Roman" w:cs="Times New Roman"/>
          <w:sz w:val="24"/>
          <w:szCs w:val="24"/>
          <w:lang w:val="en-AU"/>
        </w:rPr>
        <w:t>, one person in each category(1.</w:t>
      </w:r>
      <w:r w:rsidRPr="00800F29">
        <w:rPr>
          <w:rFonts w:ascii="Times New Roman" w:hAnsi="Times New Roman" w:cs="Times New Roman"/>
          <w:sz w:val="24"/>
          <w:szCs w:val="24"/>
          <w:lang w:val="en-AU"/>
        </w:rPr>
        <w:t xml:space="preserve">67% of the specimen), answered that the remuneration he would ask to relinquish his farming leftovers would be 11 – 15 euro in the first instance, 16 – 20 euro in the second instance and 21 euro up in the last instance.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We observe that in the first category , that is the one of those stating that they do not ask for any remuneration to relinquish their farming leftovers, 58.1% of the specimen would participate without any recompense in the entire process, while 41.8% would not participate without recompense.</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In the second category, that is the one of those wishing to collect monetary remuneration to relinquish their farming leftovers, 47% of the specimen answered that they would participate in the relevant procedure, contrary to the 52.9% of the interviewees who stated that they would not participate.</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In the first category, i.e. those who stated that they do not wish any remuneration to relinquish their farming leftovers, 58.1% of the specimen would participate in the whole procedure without recompense while 41.8% would not participate without recompense.</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lastRenderedPageBreak/>
        <w:t xml:space="preserve">In the second category, i.e. those wishing to collect monetary remuneration to relinquish  their farming leftovers, 47% of the specimen answered that they would participate in the relevant procedure, but 52.9% of the interviewees stated that they would not participate.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 xml:space="preserve">Out of the first category which concerns those not wishing remuneration to relinquish their farming leftovers, 26% of the specimen stated that they abandon their farming leftovers in the field. An equal percentage (26%) states that they burn the leftovers in the field. Only 2.3% gather the leftovers as fuel at home while, finally, the majority that totals 45.2% mention </w:t>
      </w:r>
      <w:r w:rsidR="006B7E16" w:rsidRPr="00800F29">
        <w:rPr>
          <w:rFonts w:ascii="Times New Roman" w:hAnsi="Times New Roman" w:cs="Times New Roman"/>
          <w:sz w:val="24"/>
          <w:szCs w:val="24"/>
          <w:lang w:val="en-AU"/>
        </w:rPr>
        <w:t>utilization</w:t>
      </w:r>
      <w:r w:rsidRPr="00800F29">
        <w:rPr>
          <w:rFonts w:ascii="Times New Roman" w:hAnsi="Times New Roman" w:cs="Times New Roman"/>
          <w:sz w:val="24"/>
          <w:szCs w:val="24"/>
          <w:lang w:val="en-AU"/>
        </w:rPr>
        <w:t>.</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 xml:space="preserve">Out of the second category, which concerns those wishing remuneration to relinquish their farming leftovers, 26% of the specimen stated that they abandon the leftovers of their farming exploitation in the field. </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Out of the first category, i.e. those stating that they do not wish any remuneration to relinquish their farming leftovers, 18.6% of the specimen report an income smaller of the average of the farmers in the area who are involved in similar farming exploitation, 67.4% of the specimen report an income approximately equal to the average and finally only 13.9% of the interviewees report an income bigger than the average in the area.</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Out of the second category, that is the one wishing to collect monetary remuneration to relinquish their farming leftovers, 23.5% of the specimen report an income smaller than the average of the farmers in the area with similar farming exploitation, 47% of the specimen report an income approximately equal to that of the average and finally only 29.41% of the interviewee report an income bigger than the average in the area.</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16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in" o:ole="">
            <v:imagedata r:id="rId7" o:title=""/>
          </v:shape>
          <o:OLEObject Type="Embed" ProgID="Equation.3" ShapeID="_x0000_i1025" DrawAspect="Content" ObjectID="_1531465321" r:id="rId8"/>
        </w:object>
      </w:r>
      <w:r w:rsidRPr="00800F29">
        <w:rPr>
          <w:rFonts w:ascii="Times New Roman" w:hAnsi="Times New Roman" w:cs="Times New Roman"/>
          <w:sz w:val="24"/>
          <w:szCs w:val="24"/>
          <w:lang w:val="en-AU"/>
        </w:rPr>
        <w:t xml:space="preserve">                             (2)</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 xml:space="preserve">Where N is the number of observations, y is the dependent variable, </w:t>
      </w:r>
      <w:r w:rsidRPr="00800F29">
        <w:rPr>
          <w:rFonts w:ascii="Times New Roman" w:hAnsi="Times New Roman" w:cs="Times New Roman"/>
          <w:sz w:val="24"/>
          <w:szCs w:val="24"/>
          <w:lang w:val="en-AU"/>
        </w:rPr>
        <w:object w:dxaOrig="220" w:dyaOrig="300">
          <v:shape id="_x0000_i1026" type="#_x0000_t75" style="width:11.25pt;height:15pt" o:ole="">
            <v:imagedata r:id="rId9" o:title=""/>
          </v:shape>
          <o:OLEObject Type="Embed" ProgID="Equation.3" ShapeID="_x0000_i1026" DrawAspect="Content" ObjectID="_1531465322" r:id="rId10"/>
        </w:object>
      </w:r>
      <w:r w:rsidRPr="00800F29">
        <w:rPr>
          <w:rFonts w:ascii="Times New Roman" w:hAnsi="Times New Roman" w:cs="Times New Roman"/>
          <w:sz w:val="24"/>
          <w:szCs w:val="24"/>
          <w:lang w:val="en-AU"/>
        </w:rPr>
        <w:t xml:space="preserve">is the mean of the y values, and </w:t>
      </w:r>
      <w:r w:rsidRPr="00800F29">
        <w:rPr>
          <w:rFonts w:ascii="Times New Roman" w:hAnsi="Times New Roman" w:cs="Times New Roman"/>
          <w:sz w:val="24"/>
          <w:szCs w:val="24"/>
          <w:lang w:val="en-AU"/>
        </w:rPr>
        <w:object w:dxaOrig="220" w:dyaOrig="320">
          <v:shape id="_x0000_i1027" type="#_x0000_t75" style="width:11.25pt;height:15pt" o:ole="">
            <v:imagedata r:id="rId11" o:title=""/>
          </v:shape>
          <o:OLEObject Type="Embed" ProgID="Equation.3" ShapeID="_x0000_i1027" DrawAspect="Content" ObjectID="_1531465323" r:id="rId12"/>
        </w:object>
      </w:r>
      <w:r w:rsidRPr="00800F29">
        <w:rPr>
          <w:rFonts w:ascii="Times New Roman" w:hAnsi="Times New Roman" w:cs="Times New Roman"/>
          <w:sz w:val="24"/>
          <w:szCs w:val="24"/>
          <w:lang w:val="en-AU"/>
        </w:rPr>
        <w:t>is the value predicted by the model. R</w:t>
      </w:r>
      <w:r w:rsidRPr="002967B5">
        <w:rPr>
          <w:rFonts w:ascii="Times New Roman" w:hAnsi="Times New Roman" w:cs="Times New Roman"/>
          <w:sz w:val="24"/>
          <w:szCs w:val="24"/>
          <w:vertAlign w:val="superscript"/>
          <w:lang w:val="en-AU"/>
        </w:rPr>
        <w:t>2</w:t>
      </w:r>
      <w:r w:rsidRPr="00800F29">
        <w:rPr>
          <w:rFonts w:ascii="Times New Roman" w:hAnsi="Times New Roman" w:cs="Times New Roman"/>
          <w:sz w:val="24"/>
          <w:szCs w:val="24"/>
          <w:lang w:val="en-AU"/>
        </w:rPr>
        <w:t xml:space="preserve"> is the determination coefficient that ranges from 0 to 1.  According to the </w:t>
      </w:r>
      <w:proofErr w:type="spellStart"/>
      <w:r w:rsidRPr="00800F29">
        <w:rPr>
          <w:rFonts w:ascii="Times New Roman" w:hAnsi="Times New Roman" w:cs="Times New Roman"/>
          <w:sz w:val="24"/>
          <w:szCs w:val="24"/>
          <w:lang w:val="en-AU"/>
        </w:rPr>
        <w:t>Ephron’s</w:t>
      </w:r>
      <w:proofErr w:type="spellEnd"/>
      <w:r w:rsidRPr="00800F29">
        <w:rPr>
          <w:rFonts w:ascii="Times New Roman" w:hAnsi="Times New Roman" w:cs="Times New Roman"/>
          <w:sz w:val="24"/>
          <w:szCs w:val="24"/>
          <w:lang w:val="en-AU"/>
        </w:rPr>
        <w:t xml:space="preserve"> R</w:t>
      </w:r>
      <w:r w:rsidRPr="002967B5">
        <w:rPr>
          <w:rFonts w:ascii="Times New Roman" w:hAnsi="Times New Roman" w:cs="Times New Roman"/>
          <w:sz w:val="24"/>
          <w:szCs w:val="24"/>
          <w:vertAlign w:val="superscript"/>
          <w:lang w:val="en-AU"/>
        </w:rPr>
        <w:t>2</w:t>
      </w:r>
      <w:r w:rsidRPr="00800F29">
        <w:rPr>
          <w:rFonts w:ascii="Times New Roman" w:hAnsi="Times New Roman" w:cs="Times New Roman"/>
          <w:sz w:val="24"/>
          <w:szCs w:val="24"/>
          <w:lang w:val="en-AU"/>
        </w:rPr>
        <w:t>:</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160" w:dyaOrig="1440">
          <v:shape id="_x0000_i1028" type="#_x0000_t75" style="width:108.75pt;height:1in" o:ole="">
            <v:imagedata r:id="rId13" o:title=""/>
          </v:shape>
          <o:OLEObject Type="Embed" ProgID="Equation.3" ShapeID="_x0000_i1028" DrawAspect="Content" ObjectID="_1531465324" r:id="rId14"/>
        </w:object>
      </w:r>
      <w:r w:rsidRPr="00800F29">
        <w:rPr>
          <w:rFonts w:ascii="Times New Roman" w:hAnsi="Times New Roman" w:cs="Times New Roman"/>
          <w:sz w:val="24"/>
          <w:szCs w:val="24"/>
          <w:lang w:val="en-AU"/>
        </w:rPr>
        <w:t xml:space="preserve">                             (3)</w:t>
      </w:r>
    </w:p>
    <w:p w:rsidR="00800F29" w:rsidRPr="00800F29" w:rsidRDefault="00800F29" w:rsidP="00800F29">
      <w:pPr>
        <w:jc w:val="both"/>
        <w:rPr>
          <w:rFonts w:ascii="Times New Roman" w:hAnsi="Times New Roman" w:cs="Times New Roman"/>
          <w:sz w:val="24"/>
          <w:szCs w:val="24"/>
          <w:lang w:val="en-AU"/>
        </w:rPr>
      </w:pPr>
      <w:proofErr w:type="gramStart"/>
      <w:r w:rsidRPr="00800F29">
        <w:rPr>
          <w:rFonts w:ascii="Times New Roman" w:hAnsi="Times New Roman" w:cs="Times New Roman"/>
          <w:sz w:val="24"/>
          <w:szCs w:val="24"/>
          <w:lang w:val="en-AU"/>
        </w:rPr>
        <w:lastRenderedPageBreak/>
        <w:t>where</w:t>
      </w:r>
      <w:proofErr w:type="gramEnd"/>
      <w:r w:rsidRPr="00800F29">
        <w:rPr>
          <w:rFonts w:ascii="Times New Roman" w:hAnsi="Times New Roman" w:cs="Times New Roman"/>
          <w:sz w:val="24"/>
          <w:szCs w:val="24"/>
          <w:lang w:val="en-AU"/>
        </w:rPr>
        <w:object w:dxaOrig="220" w:dyaOrig="279">
          <v:shape id="_x0000_i1029" type="#_x0000_t75" style="width:11.25pt;height:14.25pt" o:ole="">
            <v:imagedata r:id="rId15" o:title=""/>
          </v:shape>
          <o:OLEObject Type="Embed" ProgID="Equation.3" ShapeID="_x0000_i1029" DrawAspect="Content" ObjectID="_1531465325" r:id="rId16"/>
        </w:object>
      </w:r>
      <w:r w:rsidRPr="00800F29">
        <w:rPr>
          <w:rFonts w:ascii="Times New Roman" w:hAnsi="Times New Roman" w:cs="Times New Roman"/>
          <w:sz w:val="24"/>
          <w:szCs w:val="24"/>
          <w:lang w:val="en-AU"/>
        </w:rPr>
        <w:t>=model predicted probabilities, the dependent variable in a logistic regression is not continuous while the predicted value (a probability) is. Mac</w:t>
      </w:r>
      <w:r w:rsidR="006B7E16">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Fadden introduced the log likelihood of the intercept model.</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240" w:dyaOrig="800">
          <v:shape id="_x0000_i1030" type="#_x0000_t75" style="width:111pt;height:39pt" o:ole="">
            <v:imagedata r:id="rId17" o:title=""/>
          </v:shape>
          <o:OLEObject Type="Embed" ProgID="Equation.3" ShapeID="_x0000_i1030" DrawAspect="Content" ObjectID="_1531465326" r:id="rId18"/>
        </w:object>
      </w:r>
      <w:r w:rsidRPr="00800F29">
        <w:rPr>
          <w:rFonts w:ascii="Times New Roman" w:hAnsi="Times New Roman" w:cs="Times New Roman"/>
          <w:sz w:val="24"/>
          <w:szCs w:val="24"/>
          <w:lang w:val="en-AU"/>
        </w:rPr>
        <w:t>(4)</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480" w:dyaOrig="380">
          <v:shape id="_x0000_i1031" type="#_x0000_t75" style="width:123.75pt;height:19.5pt" o:ole="">
            <v:imagedata r:id="rId19" o:title=""/>
          </v:shape>
          <o:OLEObject Type="Embed" ProgID="Equation.3" ShapeID="_x0000_i1031" DrawAspect="Content" ObjectID="_1531465327" r:id="rId20"/>
        </w:object>
      </w:r>
      <w:r w:rsidRPr="00800F29">
        <w:rPr>
          <w:rFonts w:ascii="Times New Roman" w:hAnsi="Times New Roman" w:cs="Times New Roman"/>
          <w:sz w:val="24"/>
          <w:szCs w:val="24"/>
          <w:lang w:val="en-AU"/>
        </w:rPr>
        <w:t>(5)</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Where Mc</w:t>
      </w:r>
      <w:r w:rsidR="006B7E16">
        <w:rPr>
          <w:rFonts w:ascii="Times New Roman" w:hAnsi="Times New Roman" w:cs="Times New Roman"/>
          <w:sz w:val="24"/>
          <w:szCs w:val="24"/>
          <w:lang w:val="en-AU"/>
        </w:rPr>
        <w:t xml:space="preserve"> </w:t>
      </w:r>
      <w:r w:rsidRPr="00800F29">
        <w:rPr>
          <w:rFonts w:ascii="Times New Roman" w:hAnsi="Times New Roman" w:cs="Times New Roman"/>
          <w:sz w:val="24"/>
          <w:szCs w:val="24"/>
          <w:lang w:val="en-AU"/>
        </w:rPr>
        <w:t xml:space="preserve">Full is the model with predictors, M Intercept is the model without predictors, and </w:t>
      </w:r>
      <w:r w:rsidRPr="00800F29">
        <w:rPr>
          <w:rFonts w:ascii="Times New Roman" w:hAnsi="Times New Roman" w:cs="Times New Roman"/>
          <w:sz w:val="24"/>
          <w:szCs w:val="24"/>
          <w:lang w:val="en-AU"/>
        </w:rPr>
        <w:object w:dxaOrig="220" w:dyaOrig="320">
          <v:shape id="_x0000_i1032" type="#_x0000_t75" style="width:9.75pt;height:13.5pt" o:ole="">
            <v:imagedata r:id="rId21" o:title=""/>
          </v:shape>
          <o:OLEObject Type="Embed" ProgID="Equation.3" ShapeID="_x0000_i1032" DrawAspect="Content" ObjectID="_1531465328" r:id="rId22"/>
        </w:object>
      </w:r>
      <w:r w:rsidRPr="00800F29">
        <w:rPr>
          <w:rFonts w:ascii="Times New Roman" w:hAnsi="Times New Roman" w:cs="Times New Roman"/>
          <w:sz w:val="24"/>
          <w:szCs w:val="24"/>
          <w:lang w:val="en-AU"/>
        </w:rPr>
        <w:t xml:space="preserve"> is the estimated likelihood. A likelihood falls between 0 and 1, so the log of likelihood is less than, or equal to, zero. If a model has a very low likelihood, then the log of the likelihood will have a larger magnitude than the log of a more likely model. Cox and Snell present the R</w:t>
      </w:r>
      <w:r w:rsidRPr="006B7E16">
        <w:rPr>
          <w:rFonts w:ascii="Times New Roman" w:hAnsi="Times New Roman" w:cs="Times New Roman"/>
          <w:sz w:val="24"/>
          <w:szCs w:val="24"/>
          <w:vertAlign w:val="superscript"/>
          <w:lang w:val="en-AU"/>
        </w:rPr>
        <w:t>2</w:t>
      </w:r>
      <w:r w:rsidRPr="00800F29">
        <w:rPr>
          <w:rFonts w:ascii="Times New Roman" w:hAnsi="Times New Roman" w:cs="Times New Roman"/>
          <w:sz w:val="24"/>
          <w:szCs w:val="24"/>
          <w:lang w:val="en-AU"/>
        </w:rPr>
        <w:t xml:space="preserve"> as a transformation of the</w:t>
      </w:r>
    </w:p>
    <w:p w:rsidR="00800F29" w:rsidRPr="00800F29" w:rsidRDefault="00800F29" w:rsidP="00800F29">
      <w:pPr>
        <w:jc w:val="both"/>
        <w:rPr>
          <w:rFonts w:ascii="Times New Roman" w:hAnsi="Times New Roman" w:cs="Times New Roman"/>
          <w:sz w:val="24"/>
          <w:szCs w:val="24"/>
          <w:lang w:val="en-AU"/>
        </w:rPr>
      </w:pPr>
      <w:proofErr w:type="gramStart"/>
      <w:r w:rsidRPr="00800F29">
        <w:rPr>
          <w:rFonts w:ascii="Times New Roman" w:hAnsi="Times New Roman" w:cs="Times New Roman"/>
          <w:sz w:val="24"/>
          <w:szCs w:val="24"/>
          <w:lang w:val="en-AU"/>
        </w:rPr>
        <w:t>Statistic that is used to determine the convergence of a logistic regression.</w:t>
      </w:r>
      <w:proofErr w:type="gramEnd"/>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360" w:dyaOrig="900">
          <v:shape id="_x0000_i1033" type="#_x0000_t75" style="width:117.75pt;height:45pt" o:ole="">
            <v:imagedata r:id="rId23" o:title=""/>
          </v:shape>
          <o:OLEObject Type="Embed" ProgID="Equation.3" ShapeID="_x0000_i1033" DrawAspect="Content" ObjectID="_1531465329" r:id="rId24"/>
        </w:object>
      </w:r>
      <w:r w:rsidRPr="00800F29">
        <w:rPr>
          <w:rFonts w:ascii="Times New Roman" w:hAnsi="Times New Roman" w:cs="Times New Roman"/>
          <w:sz w:val="24"/>
          <w:szCs w:val="24"/>
          <w:lang w:val="en-AU"/>
        </w:rPr>
        <w:t>(6)</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Note that Cox &amp; Snell’s pseudo-R</w:t>
      </w:r>
      <w:r w:rsidRPr="006B7E16">
        <w:rPr>
          <w:rFonts w:ascii="Times New Roman" w:hAnsi="Times New Roman" w:cs="Times New Roman"/>
          <w:sz w:val="24"/>
          <w:szCs w:val="24"/>
          <w:vertAlign w:val="superscript"/>
          <w:lang w:val="en-AU"/>
        </w:rPr>
        <w:t>2</w:t>
      </w:r>
      <w:r w:rsidRPr="00800F29">
        <w:rPr>
          <w:rFonts w:ascii="Times New Roman" w:hAnsi="Times New Roman" w:cs="Times New Roman"/>
          <w:sz w:val="24"/>
          <w:szCs w:val="24"/>
          <w:lang w:val="en-AU"/>
        </w:rPr>
        <w:t xml:space="preserve"> has a maximum value that is not 1; if the full model predicts the outcome perfectly and has a likelihood of 1, and then we have </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1900" w:dyaOrig="520">
          <v:shape id="_x0000_i1034" type="#_x0000_t75" style="width:95.25pt;height:26.25pt" o:ole="">
            <v:imagedata r:id="rId25" o:title=""/>
          </v:shape>
          <o:OLEObject Type="Embed" ProgID="Equation.3" ShapeID="_x0000_i1034" DrawAspect="Content" ObjectID="_1531465330" r:id="rId26"/>
        </w:object>
      </w:r>
      <w:r w:rsidRPr="00800F29">
        <w:rPr>
          <w:rFonts w:ascii="Times New Roman" w:hAnsi="Times New Roman" w:cs="Times New Roman"/>
          <w:sz w:val="24"/>
          <w:szCs w:val="24"/>
          <w:lang w:val="en-AU"/>
        </w:rPr>
        <w:t>(7)</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proofErr w:type="spellStart"/>
      <w:r w:rsidRPr="00800F29">
        <w:rPr>
          <w:rFonts w:ascii="Times New Roman" w:hAnsi="Times New Roman" w:cs="Times New Roman"/>
          <w:sz w:val="24"/>
          <w:szCs w:val="24"/>
          <w:lang w:val="en-AU"/>
        </w:rPr>
        <w:t>Nagelkerke</w:t>
      </w:r>
      <w:proofErr w:type="spellEnd"/>
      <w:r w:rsidRPr="00800F29">
        <w:rPr>
          <w:rFonts w:ascii="Times New Roman" w:hAnsi="Times New Roman" w:cs="Times New Roman"/>
          <w:sz w:val="24"/>
          <w:szCs w:val="24"/>
          <w:lang w:val="en-AU"/>
        </w:rPr>
        <w:t xml:space="preserve">, </w:t>
      </w:r>
      <w:proofErr w:type="spellStart"/>
      <w:r w:rsidRPr="00800F29">
        <w:rPr>
          <w:rFonts w:ascii="Times New Roman" w:hAnsi="Times New Roman" w:cs="Times New Roman"/>
          <w:sz w:val="24"/>
          <w:szCs w:val="24"/>
          <w:lang w:val="en-AU"/>
        </w:rPr>
        <w:t>Cragg</w:t>
      </w:r>
      <w:proofErr w:type="spellEnd"/>
      <w:r w:rsidRPr="00800F29">
        <w:rPr>
          <w:rFonts w:ascii="Times New Roman" w:hAnsi="Times New Roman" w:cs="Times New Roman"/>
          <w:sz w:val="24"/>
          <w:szCs w:val="24"/>
          <w:lang w:val="en-AU"/>
        </w:rPr>
        <w:t xml:space="preserve"> and </w:t>
      </w:r>
      <w:proofErr w:type="spellStart"/>
      <w:r w:rsidRPr="00800F29">
        <w:rPr>
          <w:rFonts w:ascii="Times New Roman" w:hAnsi="Times New Roman" w:cs="Times New Roman"/>
          <w:sz w:val="24"/>
          <w:szCs w:val="24"/>
          <w:lang w:val="en-AU"/>
        </w:rPr>
        <w:t>Uhler</w:t>
      </w:r>
      <w:proofErr w:type="spellEnd"/>
      <w:r w:rsidRPr="00800F29">
        <w:rPr>
          <w:rFonts w:ascii="Times New Roman" w:hAnsi="Times New Roman" w:cs="Times New Roman"/>
          <w:sz w:val="24"/>
          <w:szCs w:val="24"/>
          <w:lang w:val="en-AU"/>
        </w:rPr>
        <w:t>, adjust Cox &amp; Snell’s R</w:t>
      </w:r>
      <w:r w:rsidRPr="006B7E16">
        <w:rPr>
          <w:rFonts w:ascii="Times New Roman" w:hAnsi="Times New Roman" w:cs="Times New Roman"/>
          <w:sz w:val="24"/>
          <w:szCs w:val="24"/>
          <w:vertAlign w:val="superscript"/>
          <w:lang w:val="en-AU"/>
        </w:rPr>
        <w:t>2</w:t>
      </w:r>
      <w:r w:rsidRPr="00800F29">
        <w:rPr>
          <w:rFonts w:ascii="Times New Roman" w:hAnsi="Times New Roman" w:cs="Times New Roman"/>
          <w:sz w:val="24"/>
          <w:szCs w:val="24"/>
          <w:lang w:val="en-AU"/>
        </w:rPr>
        <w:t xml:space="preserve"> so that the range of possible values extends to 1. </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object w:dxaOrig="2420" w:dyaOrig="1340">
          <v:shape id="_x0000_i1035" type="#_x0000_t75" style="width:120.75pt;height:67.5pt" o:ole="">
            <v:imagedata r:id="rId27" o:title=""/>
          </v:shape>
          <o:OLEObject Type="Embed" ProgID="Equation.3" ShapeID="_x0000_i1035" DrawAspect="Content" ObjectID="_1531465331" r:id="rId28"/>
        </w:object>
      </w:r>
      <w:r w:rsidRPr="00800F29">
        <w:rPr>
          <w:rFonts w:ascii="Times New Roman" w:hAnsi="Times New Roman" w:cs="Times New Roman"/>
          <w:sz w:val="24"/>
          <w:szCs w:val="24"/>
          <w:lang w:val="en-AU"/>
        </w:rPr>
        <w:t>(8)</w:t>
      </w:r>
    </w:p>
    <w:p w:rsidR="00800F29" w:rsidRPr="00800F29" w:rsidRDefault="00800F29" w:rsidP="00800F29">
      <w:pPr>
        <w:jc w:val="both"/>
        <w:rPr>
          <w:rFonts w:ascii="Times New Roman" w:hAnsi="Times New Roman" w:cs="Times New Roman"/>
          <w:sz w:val="24"/>
          <w:szCs w:val="24"/>
          <w:lang w:val="en-AU"/>
        </w:rPr>
      </w:pP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It should be noted that adjustment of the model is considered good by the coefficient Cox and Snell=0,656 and</w:t>
      </w:r>
      <w:r w:rsidR="00597BBA">
        <w:rPr>
          <w:rFonts w:ascii="Times New Roman" w:hAnsi="Times New Roman" w:cs="Times New Roman"/>
          <w:sz w:val="24"/>
          <w:szCs w:val="24"/>
          <w:lang w:val="en-AU"/>
        </w:rPr>
        <w:t xml:space="preserve"> the coefficient </w:t>
      </w:r>
      <w:proofErr w:type="spellStart"/>
      <w:r w:rsidR="00597BBA">
        <w:rPr>
          <w:rFonts w:ascii="Times New Roman" w:hAnsi="Times New Roman" w:cs="Times New Roman"/>
          <w:sz w:val="24"/>
          <w:szCs w:val="24"/>
          <w:lang w:val="en-AU"/>
        </w:rPr>
        <w:t>Nagelkerke</w:t>
      </w:r>
      <w:proofErr w:type="spellEnd"/>
      <w:r w:rsidR="00597BBA">
        <w:rPr>
          <w:rFonts w:ascii="Times New Roman" w:hAnsi="Times New Roman" w:cs="Times New Roman"/>
          <w:sz w:val="24"/>
          <w:szCs w:val="24"/>
          <w:lang w:val="en-AU"/>
        </w:rPr>
        <w:t xml:space="preserve"> = 0.</w:t>
      </w:r>
      <w:r w:rsidRPr="00800F29">
        <w:rPr>
          <w:rFonts w:ascii="Times New Roman" w:hAnsi="Times New Roman" w:cs="Times New Roman"/>
          <w:sz w:val="24"/>
          <w:szCs w:val="24"/>
          <w:lang w:val="en-AU"/>
        </w:rPr>
        <w:t>683.</w:t>
      </w:r>
    </w:p>
    <w:p w:rsidR="00800F29" w:rsidRPr="00800F29" w:rsidRDefault="00800F29" w:rsidP="00800F29">
      <w:pPr>
        <w:jc w:val="both"/>
        <w:rPr>
          <w:rFonts w:ascii="Times New Roman" w:hAnsi="Times New Roman" w:cs="Times New Roman"/>
          <w:b/>
          <w:sz w:val="24"/>
          <w:szCs w:val="24"/>
          <w:lang w:val="en-AU"/>
        </w:rPr>
      </w:pPr>
      <w:r w:rsidRPr="00800F29">
        <w:rPr>
          <w:rFonts w:ascii="Times New Roman" w:hAnsi="Times New Roman" w:cs="Times New Roman"/>
          <w:b/>
          <w:sz w:val="24"/>
          <w:szCs w:val="24"/>
          <w:lang w:val="en-AU"/>
        </w:rPr>
        <w:t>Concluding Remarks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External effects are observed when supply or demand impose costs or confer a benefit to others. More specifically, the external effect is the impact of the behaviour of a producer or consumer well-being of another, which is not reflected in market transactions.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economic evaluation of research aimed at improving overall social welfare. As an initial test for social welfare, the criterion used Pareto, under which a fully competitive market, an action or policy is socially desirable if it improves the position of all the individuals composing the society or at least some (weak criterion Pareto), but difficult position of any other (a strong criterion Pareto).Some benefits from the research are as follows: He offered a variety of options that allow the construction of statistical models capable. The number of interviews and the survey costs are lower compared to those required for investigations manifested preferences. However indicated drawbacks, such as the fact that: there was a bias due to discrepancies between stated intentions and actual behaviour of interviewees.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The specimen response on utilization of the rejected biomass was satisfactory, since a good percentage of the interviewees are willing to contribute to this procedure for a minimal of remuneration, although investigations of this type are novel for Greek reality. From this investigation it is perceived by the society the importance of alternative utilization of the rejected biomass.</w:t>
      </w:r>
    </w:p>
    <w:p w:rsidR="00800F29" w:rsidRPr="00800F29" w:rsidRDefault="00800F29" w:rsidP="00800F29">
      <w:pPr>
        <w:jc w:val="both"/>
        <w:rPr>
          <w:rFonts w:ascii="Times New Roman" w:hAnsi="Times New Roman" w:cs="Times New Roman"/>
          <w:sz w:val="24"/>
          <w:szCs w:val="24"/>
          <w:lang w:val="en-AU"/>
        </w:rPr>
      </w:pPr>
      <w:r w:rsidRPr="00800F29">
        <w:rPr>
          <w:rFonts w:ascii="Times New Roman" w:hAnsi="Times New Roman" w:cs="Times New Roman"/>
          <w:sz w:val="24"/>
          <w:szCs w:val="24"/>
          <w:lang w:val="en-AU"/>
        </w:rPr>
        <w:t>It is impressive that the majority of the interviewees, i.e. 43 persons who represent 71.7% of the specimen answered that they would allow their gathering and carrying away of their farming leftovers without asking for any monetary remuneration. Further, encouraging are the results concerning the willingness to participate in the gathering since the majority of the interviewees, i.e. 55% of the specimen, stated that they would participate in the gathering of the leftovers without any remuneration.</w:t>
      </w:r>
    </w:p>
    <w:p w:rsidR="00800F29" w:rsidRPr="00800F29" w:rsidRDefault="00597BBA" w:rsidP="00800F29">
      <w:pPr>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With regard to the amount </w:t>
      </w:r>
      <w:proofErr w:type="spellStart"/>
      <w:r>
        <w:rPr>
          <w:rFonts w:ascii="Times New Roman" w:hAnsi="Times New Roman" w:cs="Times New Roman"/>
          <w:sz w:val="24"/>
          <w:szCs w:val="24"/>
          <w:lang w:val="en-AU"/>
        </w:rPr>
        <w:t>Wt</w:t>
      </w:r>
      <w:r w:rsidR="00800F29" w:rsidRPr="00800F29">
        <w:rPr>
          <w:rFonts w:ascii="Times New Roman" w:hAnsi="Times New Roman" w:cs="Times New Roman"/>
          <w:sz w:val="24"/>
          <w:szCs w:val="24"/>
          <w:lang w:val="en-AU"/>
        </w:rPr>
        <w:t>A</w:t>
      </w:r>
      <w:proofErr w:type="spellEnd"/>
      <w:r w:rsidR="00800F29" w:rsidRPr="00800F29">
        <w:rPr>
          <w:rFonts w:ascii="Times New Roman" w:hAnsi="Times New Roman" w:cs="Times New Roman"/>
          <w:sz w:val="24"/>
          <w:szCs w:val="24"/>
          <w:lang w:val="en-AU"/>
        </w:rPr>
        <w:t xml:space="preserve"> (dependent variable) of the </w:t>
      </w:r>
      <w:proofErr w:type="spellStart"/>
      <w:r w:rsidR="00800F29" w:rsidRPr="00800F29">
        <w:rPr>
          <w:rFonts w:ascii="Times New Roman" w:hAnsi="Times New Roman" w:cs="Times New Roman"/>
          <w:sz w:val="24"/>
          <w:szCs w:val="24"/>
          <w:lang w:val="en-AU"/>
        </w:rPr>
        <w:t>Logit</w:t>
      </w:r>
      <w:proofErr w:type="spellEnd"/>
      <w:r w:rsidR="00800F29" w:rsidRPr="00800F29">
        <w:rPr>
          <w:rFonts w:ascii="Times New Roman" w:hAnsi="Times New Roman" w:cs="Times New Roman"/>
          <w:sz w:val="24"/>
          <w:szCs w:val="24"/>
          <w:lang w:val="en-AU"/>
        </w:rPr>
        <w:t xml:space="preserve"> model we conclude that it is affected by the wish for remuneration</w:t>
      </w:r>
      <w:r w:rsidR="006B7E16">
        <w:rPr>
          <w:rFonts w:ascii="Times New Roman" w:hAnsi="Times New Roman" w:cs="Times New Roman"/>
          <w:sz w:val="24"/>
          <w:szCs w:val="24"/>
          <w:lang w:val="en-AU"/>
        </w:rPr>
        <w:t xml:space="preserve"> </w:t>
      </w:r>
      <w:r w:rsidR="00800F29" w:rsidRPr="00800F29">
        <w:rPr>
          <w:rFonts w:ascii="Times New Roman" w:hAnsi="Times New Roman" w:cs="Times New Roman"/>
          <w:sz w:val="24"/>
          <w:szCs w:val="24"/>
          <w:lang w:val="en-AU"/>
        </w:rPr>
        <w:t>(independent variable) at the level of importance 5% (p-value = 0.011). We als</w:t>
      </w:r>
      <w:r>
        <w:rPr>
          <w:rFonts w:ascii="Times New Roman" w:hAnsi="Times New Roman" w:cs="Times New Roman"/>
          <w:sz w:val="24"/>
          <w:szCs w:val="24"/>
          <w:lang w:val="en-AU"/>
        </w:rPr>
        <w:t>o conclude that the amount of Wt</w:t>
      </w:r>
      <w:r w:rsidR="00800F29" w:rsidRPr="00800F29">
        <w:rPr>
          <w:rFonts w:ascii="Times New Roman" w:hAnsi="Times New Roman" w:cs="Times New Roman"/>
          <w:sz w:val="24"/>
          <w:szCs w:val="24"/>
          <w:lang w:val="en-AU"/>
        </w:rPr>
        <w:t xml:space="preserve">A is affected by the </w:t>
      </w:r>
      <w:proofErr w:type="spellStart"/>
      <w:r w:rsidR="00800F29" w:rsidRPr="00800F29">
        <w:rPr>
          <w:rFonts w:ascii="Times New Roman" w:hAnsi="Times New Roman" w:cs="Times New Roman"/>
          <w:sz w:val="24"/>
          <w:szCs w:val="24"/>
          <w:lang w:val="en-AU"/>
        </w:rPr>
        <w:t>stremmas</w:t>
      </w:r>
      <w:proofErr w:type="spellEnd"/>
      <w:r w:rsidR="00800F29" w:rsidRPr="00800F29">
        <w:rPr>
          <w:rFonts w:ascii="Times New Roman" w:hAnsi="Times New Roman" w:cs="Times New Roman"/>
          <w:sz w:val="24"/>
          <w:szCs w:val="24"/>
          <w:lang w:val="en-AU"/>
        </w:rPr>
        <w:t xml:space="preserve"> each farmer owns compared to other farmers at the level of importance 10%</w:t>
      </w:r>
      <w:r w:rsidR="006B7E16">
        <w:rPr>
          <w:rFonts w:ascii="Times New Roman" w:hAnsi="Times New Roman" w:cs="Times New Roman"/>
          <w:sz w:val="24"/>
          <w:szCs w:val="24"/>
          <w:lang w:val="en-AU"/>
        </w:rPr>
        <w:t xml:space="preserve"> </w:t>
      </w:r>
      <w:r w:rsidR="00800F29" w:rsidRPr="00800F29">
        <w:rPr>
          <w:rFonts w:ascii="Times New Roman" w:hAnsi="Times New Roman" w:cs="Times New Roman"/>
          <w:sz w:val="24"/>
          <w:szCs w:val="24"/>
          <w:lang w:val="en-AU"/>
        </w:rPr>
        <w:t xml:space="preserve">(p-value = 0.065). </w:t>
      </w:r>
      <w:r w:rsidR="006B7E16">
        <w:rPr>
          <w:rFonts w:ascii="Times New Roman" w:hAnsi="Times New Roman" w:cs="Times New Roman"/>
          <w:sz w:val="24"/>
          <w:szCs w:val="24"/>
          <w:lang w:val="en-AU"/>
        </w:rPr>
        <w:t xml:space="preserve"> </w:t>
      </w:r>
    </w:p>
    <w:p w:rsidR="006B7E16" w:rsidRPr="002967B5" w:rsidRDefault="006B7E16" w:rsidP="006B7E16">
      <w:pPr>
        <w:pStyle w:val="1"/>
        <w:jc w:val="both"/>
        <w:rPr>
          <w:rFonts w:ascii="Times New Roman" w:hAnsi="Times New Roman"/>
          <w:color w:val="auto"/>
          <w:sz w:val="24"/>
          <w:szCs w:val="24"/>
          <w:lang w:val="en-US"/>
        </w:rPr>
      </w:pPr>
      <w:r w:rsidRPr="002967B5">
        <w:rPr>
          <w:rFonts w:ascii="Times New Roman" w:hAnsi="Times New Roman"/>
          <w:color w:val="auto"/>
          <w:sz w:val="24"/>
          <w:szCs w:val="24"/>
          <w:lang w:val="en-US"/>
        </w:rPr>
        <w:lastRenderedPageBreak/>
        <w:t>References</w:t>
      </w:r>
    </w:p>
    <w:p w:rsidR="006B7E16" w:rsidRPr="006E628B" w:rsidRDefault="006B7E16" w:rsidP="006B7E16">
      <w:pPr>
        <w:rPr>
          <w:rFonts w:ascii="Times New Roman" w:hAnsi="Times New Roman" w:cs="Times New Roman"/>
          <w:sz w:val="24"/>
          <w:szCs w:val="24"/>
          <w:lang w:val="en-AU"/>
        </w:rPr>
      </w:pP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 </w:t>
      </w:r>
      <w:proofErr w:type="spellStart"/>
      <w:r w:rsidR="006B7E16" w:rsidRPr="006E628B">
        <w:rPr>
          <w:rFonts w:ascii="Times New Roman" w:eastAsia="SimSun" w:hAnsi="Times New Roman" w:cs="Times New Roman"/>
          <w:sz w:val="24"/>
          <w:szCs w:val="24"/>
          <w:lang w:val="en-GB" w:eastAsia="zh-CN"/>
        </w:rPr>
        <w:t>Brown</w:t>
      </w:r>
      <w:proofErr w:type="gramStart"/>
      <w:r w:rsidR="006B7E16" w:rsidRPr="006E628B">
        <w:rPr>
          <w:rFonts w:ascii="Times New Roman" w:eastAsia="SimSun" w:hAnsi="Times New Roman" w:cs="Times New Roman"/>
          <w:sz w:val="24"/>
          <w:szCs w:val="24"/>
          <w:lang w:val="en-GB" w:eastAsia="zh-CN"/>
        </w:rPr>
        <w:t>,T.C</w:t>
      </w:r>
      <w:proofErr w:type="spellEnd"/>
      <w:proofErr w:type="gramEnd"/>
      <w:r w:rsidR="006B7E16" w:rsidRPr="006E628B">
        <w:rPr>
          <w:rFonts w:ascii="Times New Roman" w:eastAsia="SimSun" w:hAnsi="Times New Roman" w:cs="Times New Roman"/>
          <w:sz w:val="24"/>
          <w:szCs w:val="24"/>
          <w:lang w:val="en-GB" w:eastAsia="zh-CN"/>
        </w:rPr>
        <w:t xml:space="preserve">., Loss aversion without the endowment effect, and other explanations for the WTA–WTP disparity, J. Econ. </w:t>
      </w:r>
      <w:proofErr w:type="gramStart"/>
      <w:r w:rsidR="006B7E16" w:rsidRPr="006E628B">
        <w:rPr>
          <w:rFonts w:ascii="Times New Roman" w:eastAsia="SimSun" w:hAnsi="Times New Roman" w:cs="Times New Roman"/>
          <w:sz w:val="24"/>
          <w:szCs w:val="24"/>
          <w:lang w:val="en-GB" w:eastAsia="zh-CN"/>
        </w:rPr>
        <w:t>Behav.Org.,</w:t>
      </w:r>
      <w:proofErr w:type="gramEnd"/>
      <w:r w:rsidR="006B7E16" w:rsidRPr="006E628B">
        <w:rPr>
          <w:rFonts w:ascii="Times New Roman" w:eastAsia="SimSun" w:hAnsi="Times New Roman" w:cs="Times New Roman"/>
          <w:sz w:val="24"/>
          <w:szCs w:val="24"/>
          <w:lang w:val="en-GB" w:eastAsia="zh-CN"/>
        </w:rPr>
        <w:t xml:space="preserve"> 57, 367-379 (2005.</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2. </w:t>
      </w:r>
      <w:proofErr w:type="spellStart"/>
      <w:r w:rsidR="006B7E16" w:rsidRPr="006E628B">
        <w:rPr>
          <w:rFonts w:ascii="Times New Roman" w:eastAsia="SimSun" w:hAnsi="Times New Roman" w:cs="Times New Roman"/>
          <w:sz w:val="24"/>
          <w:szCs w:val="24"/>
          <w:lang w:val="en-GB" w:eastAsia="zh-CN"/>
        </w:rPr>
        <w:t>Batzias</w:t>
      </w:r>
      <w:proofErr w:type="gramStart"/>
      <w:r w:rsidR="006B7E16" w:rsidRPr="006E628B">
        <w:rPr>
          <w:rFonts w:ascii="Times New Roman" w:eastAsia="SimSun" w:hAnsi="Times New Roman" w:cs="Times New Roman"/>
          <w:sz w:val="24"/>
          <w:szCs w:val="24"/>
          <w:lang w:val="en-GB" w:eastAsia="zh-CN"/>
        </w:rPr>
        <w:t>,F</w:t>
      </w:r>
      <w:proofErr w:type="spellEnd"/>
      <w:proofErr w:type="gramEnd"/>
      <w:r w:rsidR="006B7E16" w:rsidRPr="006E628B">
        <w:rPr>
          <w:rFonts w:ascii="Times New Roman" w:eastAsia="SimSun" w:hAnsi="Times New Roman" w:cs="Times New Roman"/>
          <w:sz w:val="24"/>
          <w:szCs w:val="24"/>
          <w:lang w:val="en-GB" w:eastAsia="zh-CN"/>
        </w:rPr>
        <w:t xml:space="preserve">., O. </w:t>
      </w:r>
      <w:proofErr w:type="spellStart"/>
      <w:r w:rsidR="006B7E16" w:rsidRPr="006E628B">
        <w:rPr>
          <w:rFonts w:ascii="Times New Roman" w:eastAsia="SimSun" w:hAnsi="Times New Roman" w:cs="Times New Roman"/>
          <w:sz w:val="24"/>
          <w:szCs w:val="24"/>
          <w:lang w:val="en-GB" w:eastAsia="zh-CN"/>
        </w:rPr>
        <w:t>Kopsidas</w:t>
      </w:r>
      <w:proofErr w:type="spellEnd"/>
      <w:r w:rsidR="006B7E16" w:rsidRPr="006E628B">
        <w:rPr>
          <w:rFonts w:ascii="Times New Roman" w:eastAsia="SimSun" w:hAnsi="Times New Roman" w:cs="Times New Roman"/>
          <w:sz w:val="24"/>
          <w:szCs w:val="24"/>
          <w:lang w:val="en-GB" w:eastAsia="zh-CN"/>
        </w:rPr>
        <w:t xml:space="preserve">, Introducing a conditional ‘Willingness to Pay’ index as a quantifier for environmental impact assessment, 8th Int. Conf. </w:t>
      </w:r>
      <w:proofErr w:type="spellStart"/>
      <w:r w:rsidR="006B7E16" w:rsidRPr="006E628B">
        <w:rPr>
          <w:rFonts w:ascii="Times New Roman" w:eastAsia="SimSun" w:hAnsi="Times New Roman" w:cs="Times New Roman"/>
          <w:sz w:val="24"/>
          <w:szCs w:val="24"/>
          <w:lang w:val="en-GB" w:eastAsia="zh-CN"/>
        </w:rPr>
        <w:t>Comput</w:t>
      </w:r>
      <w:proofErr w:type="spellEnd"/>
      <w:r w:rsidR="006B7E16" w:rsidRPr="006E628B">
        <w:rPr>
          <w:rFonts w:ascii="Times New Roman" w:eastAsia="SimSun" w:hAnsi="Times New Roman" w:cs="Times New Roman"/>
          <w:sz w:val="24"/>
          <w:szCs w:val="24"/>
          <w:lang w:val="en-GB" w:eastAsia="zh-CN"/>
        </w:rPr>
        <w:t xml:space="preserve">. </w:t>
      </w:r>
      <w:proofErr w:type="gramStart"/>
      <w:r w:rsidR="006B7E16" w:rsidRPr="006E628B">
        <w:rPr>
          <w:rFonts w:ascii="Times New Roman" w:eastAsia="SimSun" w:hAnsi="Times New Roman" w:cs="Times New Roman"/>
          <w:sz w:val="24"/>
          <w:szCs w:val="24"/>
          <w:lang w:val="en-GB" w:eastAsia="zh-CN"/>
        </w:rPr>
        <w:t>Methods Sci. Eng., Kos, Greece, 2010, Amer. Inst. Physics.</w:t>
      </w:r>
      <w:proofErr w:type="gramEnd"/>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3. </w:t>
      </w:r>
      <w:proofErr w:type="spellStart"/>
      <w:r w:rsidR="006B7E16" w:rsidRPr="006E628B">
        <w:rPr>
          <w:rFonts w:ascii="Times New Roman" w:eastAsia="SimSun" w:hAnsi="Times New Roman" w:cs="Times New Roman"/>
          <w:sz w:val="24"/>
          <w:szCs w:val="24"/>
          <w:lang w:val="en-GB" w:eastAsia="zh-CN"/>
        </w:rPr>
        <w:t>Liao</w:t>
      </w:r>
      <w:proofErr w:type="gramStart"/>
      <w:r w:rsidR="006B7E16" w:rsidRPr="006E628B">
        <w:rPr>
          <w:rFonts w:ascii="Times New Roman" w:eastAsia="SimSun" w:hAnsi="Times New Roman" w:cs="Times New Roman"/>
          <w:sz w:val="24"/>
          <w:szCs w:val="24"/>
          <w:lang w:val="en-GB" w:eastAsia="zh-CN"/>
        </w:rPr>
        <w:t>,T.F</w:t>
      </w:r>
      <w:proofErr w:type="spellEnd"/>
      <w:proofErr w:type="gramEnd"/>
      <w:r w:rsidR="006B7E16" w:rsidRPr="006E628B">
        <w:rPr>
          <w:rFonts w:ascii="Times New Roman" w:eastAsia="SimSun" w:hAnsi="Times New Roman" w:cs="Times New Roman"/>
          <w:sz w:val="24"/>
          <w:szCs w:val="24"/>
          <w:lang w:val="en-GB" w:eastAsia="zh-CN"/>
        </w:rPr>
        <w:t xml:space="preserve">., Interpreting Probability Models: </w:t>
      </w:r>
      <w:proofErr w:type="spellStart"/>
      <w:r w:rsidR="006B7E16" w:rsidRPr="006E628B">
        <w:rPr>
          <w:rFonts w:ascii="Times New Roman" w:eastAsia="SimSun" w:hAnsi="Times New Roman" w:cs="Times New Roman"/>
          <w:sz w:val="24"/>
          <w:szCs w:val="24"/>
          <w:lang w:val="en-GB" w:eastAsia="zh-CN"/>
        </w:rPr>
        <w:t>Logit</w:t>
      </w:r>
      <w:proofErr w:type="spellEnd"/>
      <w:r w:rsidR="006B7E16" w:rsidRPr="006E628B">
        <w:rPr>
          <w:rFonts w:ascii="Times New Roman" w:eastAsia="SimSun" w:hAnsi="Times New Roman" w:cs="Times New Roman"/>
          <w:sz w:val="24"/>
          <w:szCs w:val="24"/>
          <w:lang w:val="en-GB" w:eastAsia="zh-CN"/>
        </w:rPr>
        <w:t xml:space="preserve">, </w:t>
      </w:r>
      <w:proofErr w:type="spellStart"/>
      <w:r w:rsidR="006B7E16" w:rsidRPr="006E628B">
        <w:rPr>
          <w:rFonts w:ascii="Times New Roman" w:eastAsia="SimSun" w:hAnsi="Times New Roman" w:cs="Times New Roman"/>
          <w:sz w:val="24"/>
          <w:szCs w:val="24"/>
          <w:lang w:val="en-GB" w:eastAsia="zh-CN"/>
        </w:rPr>
        <w:t>Probit</w:t>
      </w:r>
      <w:proofErr w:type="spellEnd"/>
      <w:r w:rsidR="006B7E16" w:rsidRPr="006E628B">
        <w:rPr>
          <w:rFonts w:ascii="Times New Roman" w:eastAsia="SimSun" w:hAnsi="Times New Roman" w:cs="Times New Roman"/>
          <w:sz w:val="24"/>
          <w:szCs w:val="24"/>
          <w:lang w:val="en-GB" w:eastAsia="zh-CN"/>
        </w:rPr>
        <w:t xml:space="preserve">, and other Generalized Linear Models. SAGE Publications Inc., 1994. </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4. </w:t>
      </w:r>
      <w:proofErr w:type="spellStart"/>
      <w:r w:rsidR="006B7E16" w:rsidRPr="006E628B">
        <w:rPr>
          <w:rFonts w:ascii="Times New Roman" w:eastAsia="SimSun" w:hAnsi="Times New Roman" w:cs="Times New Roman"/>
          <w:sz w:val="24"/>
          <w:szCs w:val="24"/>
          <w:lang w:val="en-GB" w:eastAsia="zh-CN"/>
        </w:rPr>
        <w:t>Menard</w:t>
      </w:r>
      <w:proofErr w:type="gramStart"/>
      <w:r w:rsidR="006B7E16" w:rsidRPr="006E628B">
        <w:rPr>
          <w:rFonts w:ascii="Times New Roman" w:eastAsia="SimSun" w:hAnsi="Times New Roman" w:cs="Times New Roman"/>
          <w:sz w:val="24"/>
          <w:szCs w:val="24"/>
          <w:lang w:val="en-GB" w:eastAsia="zh-CN"/>
        </w:rPr>
        <w:t>,S</w:t>
      </w:r>
      <w:proofErr w:type="spellEnd"/>
      <w:proofErr w:type="gramEnd"/>
      <w:r w:rsidR="006B7E16" w:rsidRPr="006E628B">
        <w:rPr>
          <w:rFonts w:ascii="Times New Roman" w:eastAsia="SimSun" w:hAnsi="Times New Roman" w:cs="Times New Roman"/>
          <w:sz w:val="24"/>
          <w:szCs w:val="24"/>
          <w:lang w:val="en-GB" w:eastAsia="zh-CN"/>
        </w:rPr>
        <w:t>., Applied Logistic Regression Analysis, 2nd ed., SAGE Publications Inc., 2001.</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5. </w:t>
      </w:r>
      <w:proofErr w:type="spellStart"/>
      <w:r w:rsidR="006B7E16" w:rsidRPr="006E628B">
        <w:rPr>
          <w:rFonts w:ascii="Times New Roman" w:eastAsia="SimSun" w:hAnsi="Times New Roman" w:cs="Times New Roman"/>
          <w:sz w:val="24"/>
          <w:szCs w:val="24"/>
          <w:lang w:val="en-GB" w:eastAsia="zh-CN"/>
        </w:rPr>
        <w:t>Rayleigh</w:t>
      </w:r>
      <w:proofErr w:type="gramStart"/>
      <w:r w:rsidR="006B7E16" w:rsidRPr="006E628B">
        <w:rPr>
          <w:rFonts w:ascii="Times New Roman" w:eastAsia="SimSun" w:hAnsi="Times New Roman" w:cs="Times New Roman"/>
          <w:sz w:val="24"/>
          <w:szCs w:val="24"/>
          <w:lang w:val="en-GB" w:eastAsia="zh-CN"/>
        </w:rPr>
        <w:t>,L</w:t>
      </w:r>
      <w:proofErr w:type="spellEnd"/>
      <w:proofErr w:type="gramEnd"/>
      <w:r w:rsidR="006B7E16" w:rsidRPr="006E628B">
        <w:rPr>
          <w:rFonts w:ascii="Times New Roman" w:eastAsia="SimSun" w:hAnsi="Times New Roman" w:cs="Times New Roman"/>
          <w:sz w:val="24"/>
          <w:szCs w:val="24"/>
          <w:lang w:val="en-GB" w:eastAsia="zh-CN"/>
        </w:rPr>
        <w:t>., Proc Roy. Soc. London 66, 68</w:t>
      </w:r>
      <w:proofErr w:type="gramStart"/>
      <w:r w:rsidR="006B7E16" w:rsidRPr="006E628B">
        <w:rPr>
          <w:rFonts w:ascii="Times New Roman" w:eastAsia="SimSun" w:hAnsi="Times New Roman" w:cs="Times New Roman"/>
          <w:sz w:val="24"/>
          <w:szCs w:val="24"/>
          <w:lang w:val="en-GB" w:eastAsia="zh-CN"/>
        </w:rPr>
        <w:t>,1899</w:t>
      </w:r>
      <w:proofErr w:type="gramEnd"/>
      <w:r w:rsidR="006B7E16" w:rsidRPr="006E628B">
        <w:rPr>
          <w:rFonts w:ascii="Times New Roman" w:eastAsia="SimSun" w:hAnsi="Times New Roman" w:cs="Times New Roman"/>
          <w:sz w:val="24"/>
          <w:szCs w:val="24"/>
          <w:lang w:val="en-GB" w:eastAsia="zh-CN"/>
        </w:rPr>
        <w:t>-1900.</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6. </w:t>
      </w:r>
      <w:proofErr w:type="spellStart"/>
      <w:r w:rsidR="006B7E16" w:rsidRPr="006E628B">
        <w:rPr>
          <w:rFonts w:ascii="Times New Roman" w:eastAsia="SimSun" w:hAnsi="Times New Roman" w:cs="Times New Roman"/>
          <w:sz w:val="24"/>
          <w:szCs w:val="24"/>
          <w:lang w:val="en-GB" w:eastAsia="zh-CN"/>
        </w:rPr>
        <w:t>Rayleigh</w:t>
      </w:r>
      <w:proofErr w:type="gramStart"/>
      <w:r w:rsidR="006B7E16" w:rsidRPr="006E628B">
        <w:rPr>
          <w:rFonts w:ascii="Times New Roman" w:eastAsia="SimSun" w:hAnsi="Times New Roman" w:cs="Times New Roman"/>
          <w:sz w:val="24"/>
          <w:szCs w:val="24"/>
          <w:lang w:val="en-GB" w:eastAsia="zh-CN"/>
        </w:rPr>
        <w:t>,L</w:t>
      </w:r>
      <w:proofErr w:type="spellEnd"/>
      <w:proofErr w:type="gramEnd"/>
      <w:r w:rsidR="006B7E16" w:rsidRPr="006E628B">
        <w:rPr>
          <w:rFonts w:ascii="Times New Roman" w:eastAsia="SimSun" w:hAnsi="Times New Roman" w:cs="Times New Roman"/>
          <w:sz w:val="24"/>
          <w:szCs w:val="24"/>
          <w:lang w:val="en-GB" w:eastAsia="zh-CN"/>
        </w:rPr>
        <w:t>., Nature 95,66 (1915).</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7. </w:t>
      </w:r>
      <w:proofErr w:type="spellStart"/>
      <w:r w:rsidR="006B7E16" w:rsidRPr="006E628B">
        <w:rPr>
          <w:rFonts w:ascii="Times New Roman" w:eastAsia="SimSun" w:hAnsi="Times New Roman" w:cs="Times New Roman"/>
          <w:sz w:val="24"/>
          <w:szCs w:val="24"/>
          <w:lang w:val="en-GB" w:eastAsia="zh-CN"/>
        </w:rPr>
        <w:t>Buckingham</w:t>
      </w:r>
      <w:proofErr w:type="gramStart"/>
      <w:r w:rsidR="006B7E16" w:rsidRPr="006E628B">
        <w:rPr>
          <w:rFonts w:ascii="Times New Roman" w:eastAsia="SimSun" w:hAnsi="Times New Roman" w:cs="Times New Roman"/>
          <w:sz w:val="24"/>
          <w:szCs w:val="24"/>
          <w:lang w:val="en-GB" w:eastAsia="zh-CN"/>
        </w:rPr>
        <w:t>,E</w:t>
      </w:r>
      <w:proofErr w:type="spellEnd"/>
      <w:proofErr w:type="gramEnd"/>
      <w:r w:rsidR="006B7E16" w:rsidRPr="006E628B">
        <w:rPr>
          <w:rFonts w:ascii="Times New Roman" w:eastAsia="SimSun" w:hAnsi="Times New Roman" w:cs="Times New Roman"/>
          <w:sz w:val="24"/>
          <w:szCs w:val="24"/>
          <w:lang w:val="en-GB" w:eastAsia="zh-CN"/>
        </w:rPr>
        <w:t>., Phys. Rev.,4, 345-376,1914.</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8. </w:t>
      </w:r>
      <w:proofErr w:type="spellStart"/>
      <w:r w:rsidR="006B7E16" w:rsidRPr="006E628B">
        <w:rPr>
          <w:rFonts w:ascii="Times New Roman" w:eastAsia="SimSun" w:hAnsi="Times New Roman" w:cs="Times New Roman"/>
          <w:sz w:val="24"/>
          <w:szCs w:val="24"/>
          <w:lang w:val="en-GB" w:eastAsia="zh-CN"/>
        </w:rPr>
        <w:t>Langahaar</w:t>
      </w:r>
      <w:proofErr w:type="gramStart"/>
      <w:r w:rsidR="006B7E16" w:rsidRPr="006E628B">
        <w:rPr>
          <w:rFonts w:ascii="Times New Roman" w:eastAsia="SimSun" w:hAnsi="Times New Roman" w:cs="Times New Roman"/>
          <w:sz w:val="24"/>
          <w:szCs w:val="24"/>
          <w:lang w:val="en-GB" w:eastAsia="zh-CN"/>
        </w:rPr>
        <w:t>,H.E</w:t>
      </w:r>
      <w:proofErr w:type="spellEnd"/>
      <w:proofErr w:type="gramEnd"/>
      <w:r w:rsidR="006B7E16" w:rsidRPr="006E628B">
        <w:rPr>
          <w:rFonts w:ascii="Times New Roman" w:eastAsia="SimSun" w:hAnsi="Times New Roman" w:cs="Times New Roman"/>
          <w:sz w:val="24"/>
          <w:szCs w:val="24"/>
          <w:lang w:val="en-GB" w:eastAsia="zh-CN"/>
        </w:rPr>
        <w:t xml:space="preserve">., Dimensional Analysis, London, 1951. </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9. </w:t>
      </w:r>
      <w:r w:rsidR="006B7E16" w:rsidRPr="006E628B">
        <w:rPr>
          <w:rFonts w:ascii="Times New Roman" w:eastAsia="SimSun" w:hAnsi="Times New Roman" w:cs="Times New Roman"/>
          <w:sz w:val="24"/>
          <w:szCs w:val="24"/>
          <w:lang w:val="en-GB" w:eastAsia="zh-CN"/>
        </w:rPr>
        <w:t>Huntley H.E., Dimensional Analysis, London, MacDonald</w:t>
      </w:r>
      <w:proofErr w:type="gramStart"/>
      <w:r w:rsidR="006B7E16" w:rsidRPr="006E628B">
        <w:rPr>
          <w:rFonts w:ascii="Times New Roman" w:eastAsia="SimSun" w:hAnsi="Times New Roman" w:cs="Times New Roman"/>
          <w:sz w:val="24"/>
          <w:szCs w:val="24"/>
          <w:lang w:val="en-GB" w:eastAsia="zh-CN"/>
        </w:rPr>
        <w:t>,1952</w:t>
      </w:r>
      <w:proofErr w:type="gramEnd"/>
      <w:r w:rsidR="006B7E16" w:rsidRPr="006E628B">
        <w:rPr>
          <w:rFonts w:ascii="Times New Roman" w:eastAsia="SimSun" w:hAnsi="Times New Roman" w:cs="Times New Roman"/>
          <w:sz w:val="24"/>
          <w:szCs w:val="24"/>
          <w:lang w:val="en-GB" w:eastAsia="zh-CN"/>
        </w:rPr>
        <w:t>.</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10. </w:t>
      </w:r>
      <w:proofErr w:type="spellStart"/>
      <w:r w:rsidR="006B7E16" w:rsidRPr="006E628B">
        <w:rPr>
          <w:rFonts w:ascii="Times New Roman" w:eastAsia="SimSun" w:hAnsi="Times New Roman" w:cs="Times New Roman"/>
          <w:sz w:val="24"/>
          <w:szCs w:val="24"/>
          <w:lang w:val="en-GB" w:eastAsia="zh-CN"/>
        </w:rPr>
        <w:t>Palacios</w:t>
      </w:r>
      <w:proofErr w:type="gramStart"/>
      <w:r w:rsidR="006B7E16" w:rsidRPr="006E628B">
        <w:rPr>
          <w:rFonts w:ascii="Times New Roman" w:eastAsia="SimSun" w:hAnsi="Times New Roman" w:cs="Times New Roman"/>
          <w:sz w:val="24"/>
          <w:szCs w:val="24"/>
          <w:lang w:val="en-GB" w:eastAsia="zh-CN"/>
        </w:rPr>
        <w:t>,J</w:t>
      </w:r>
      <w:proofErr w:type="spellEnd"/>
      <w:proofErr w:type="gramEnd"/>
      <w:r w:rsidR="006B7E16" w:rsidRPr="006E628B">
        <w:rPr>
          <w:rFonts w:ascii="Times New Roman" w:eastAsia="SimSun" w:hAnsi="Times New Roman" w:cs="Times New Roman"/>
          <w:sz w:val="24"/>
          <w:szCs w:val="24"/>
          <w:lang w:val="en-GB" w:eastAsia="zh-CN"/>
        </w:rPr>
        <w:t xml:space="preserve">.,(translated by P. Lee with </w:t>
      </w:r>
      <w:proofErr w:type="spellStart"/>
      <w:r w:rsidR="006B7E16" w:rsidRPr="006E628B">
        <w:rPr>
          <w:rFonts w:ascii="Times New Roman" w:eastAsia="SimSun" w:hAnsi="Times New Roman" w:cs="Times New Roman"/>
          <w:sz w:val="24"/>
          <w:szCs w:val="24"/>
          <w:lang w:val="en-GB" w:eastAsia="zh-CN"/>
        </w:rPr>
        <w:t>L.Roth</w:t>
      </w:r>
      <w:proofErr w:type="spellEnd"/>
      <w:r w:rsidR="006B7E16" w:rsidRPr="006E628B">
        <w:rPr>
          <w:rFonts w:ascii="Times New Roman" w:eastAsia="SimSun" w:hAnsi="Times New Roman" w:cs="Times New Roman"/>
          <w:sz w:val="24"/>
          <w:szCs w:val="24"/>
          <w:lang w:val="en-GB" w:eastAsia="zh-CN"/>
        </w:rPr>
        <w:t xml:space="preserve">), Dimensional Analysis, London, Mac </w:t>
      </w:r>
      <w:proofErr w:type="spellStart"/>
      <w:r w:rsidR="006B7E16" w:rsidRPr="006E628B">
        <w:rPr>
          <w:rFonts w:ascii="Times New Roman" w:eastAsia="SimSun" w:hAnsi="Times New Roman" w:cs="Times New Roman"/>
          <w:sz w:val="24"/>
          <w:szCs w:val="24"/>
          <w:lang w:val="en-GB" w:eastAsia="zh-CN"/>
        </w:rPr>
        <w:t>Millan</w:t>
      </w:r>
      <w:proofErr w:type="spellEnd"/>
      <w:r w:rsidR="006B7E16" w:rsidRPr="006E628B">
        <w:rPr>
          <w:rFonts w:ascii="Times New Roman" w:eastAsia="SimSun" w:hAnsi="Times New Roman" w:cs="Times New Roman"/>
          <w:sz w:val="24"/>
          <w:szCs w:val="24"/>
          <w:lang w:val="en-GB" w:eastAsia="zh-CN"/>
        </w:rPr>
        <w:t>, 1964 (originally published in Spanish,1956.</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11</w:t>
      </w:r>
      <w:proofErr w:type="gramStart"/>
      <w:r>
        <w:rPr>
          <w:rFonts w:ascii="Times New Roman" w:eastAsia="SimSun" w:hAnsi="Times New Roman" w:cs="Times New Roman"/>
          <w:sz w:val="24"/>
          <w:szCs w:val="24"/>
          <w:lang w:val="en-GB" w:eastAsia="zh-CN"/>
        </w:rPr>
        <w:t>.</w:t>
      </w:r>
      <w:r w:rsidR="006B7E16" w:rsidRPr="006E628B">
        <w:rPr>
          <w:rFonts w:ascii="Times New Roman" w:eastAsia="SimSun" w:hAnsi="Times New Roman" w:cs="Times New Roman"/>
          <w:sz w:val="24"/>
          <w:szCs w:val="24"/>
          <w:lang w:val="en-GB" w:eastAsia="zh-CN"/>
        </w:rPr>
        <w:t>Allais</w:t>
      </w:r>
      <w:proofErr w:type="gramEnd"/>
      <w:r w:rsidR="006B7E16" w:rsidRPr="006E628B">
        <w:rPr>
          <w:rFonts w:ascii="Times New Roman" w:eastAsia="SimSun" w:hAnsi="Times New Roman" w:cs="Times New Roman"/>
          <w:sz w:val="24"/>
          <w:szCs w:val="24"/>
          <w:lang w:val="en-GB" w:eastAsia="zh-CN"/>
        </w:rPr>
        <w:t xml:space="preserve"> </w:t>
      </w:r>
      <w:proofErr w:type="spellStart"/>
      <w:r w:rsidR="006B7E16" w:rsidRPr="006E628B">
        <w:rPr>
          <w:rFonts w:ascii="Times New Roman" w:eastAsia="SimSun" w:hAnsi="Times New Roman" w:cs="Times New Roman"/>
          <w:sz w:val="24"/>
          <w:szCs w:val="24"/>
          <w:lang w:val="en-GB" w:eastAsia="zh-CN"/>
        </w:rPr>
        <w:t>M.,Traite</w:t>
      </w:r>
      <w:proofErr w:type="spellEnd"/>
      <w:r w:rsidR="006B7E16" w:rsidRPr="006E628B">
        <w:rPr>
          <w:rFonts w:ascii="Times New Roman" w:eastAsia="SimSun" w:hAnsi="Times New Roman" w:cs="Times New Roman"/>
          <w:sz w:val="24"/>
          <w:szCs w:val="24"/>
          <w:lang w:val="en-GB" w:eastAsia="zh-CN"/>
        </w:rPr>
        <w:t xml:space="preserve"> d’ </w:t>
      </w:r>
      <w:proofErr w:type="spellStart"/>
      <w:r w:rsidR="006B7E16" w:rsidRPr="006E628B">
        <w:rPr>
          <w:rFonts w:ascii="Times New Roman" w:eastAsia="SimSun" w:hAnsi="Times New Roman" w:cs="Times New Roman"/>
          <w:sz w:val="24"/>
          <w:szCs w:val="24"/>
          <w:lang w:val="en-GB" w:eastAsia="zh-CN"/>
        </w:rPr>
        <w:t>economie</w:t>
      </w:r>
      <w:proofErr w:type="spellEnd"/>
      <w:r w:rsidR="006B7E16" w:rsidRPr="006E628B">
        <w:rPr>
          <w:rFonts w:ascii="Times New Roman" w:eastAsia="SimSun" w:hAnsi="Times New Roman" w:cs="Times New Roman"/>
          <w:sz w:val="24"/>
          <w:szCs w:val="24"/>
          <w:lang w:val="en-GB" w:eastAsia="zh-CN"/>
        </w:rPr>
        <w:t xml:space="preserve"> pure, Vol. I, Les </w:t>
      </w:r>
      <w:proofErr w:type="spellStart"/>
      <w:r w:rsidR="006B7E16" w:rsidRPr="006E628B">
        <w:rPr>
          <w:rFonts w:ascii="Times New Roman" w:eastAsia="SimSun" w:hAnsi="Times New Roman" w:cs="Times New Roman"/>
          <w:sz w:val="24"/>
          <w:szCs w:val="24"/>
          <w:lang w:val="en-GB" w:eastAsia="zh-CN"/>
        </w:rPr>
        <w:t>Donnees</w:t>
      </w:r>
      <w:proofErr w:type="spellEnd"/>
      <w:r w:rsidR="006B7E16" w:rsidRPr="006E628B">
        <w:rPr>
          <w:rFonts w:ascii="Times New Roman" w:eastAsia="SimSun" w:hAnsi="Times New Roman" w:cs="Times New Roman"/>
          <w:sz w:val="24"/>
          <w:szCs w:val="24"/>
          <w:lang w:val="en-GB" w:eastAsia="zh-CN"/>
        </w:rPr>
        <w:t xml:space="preserve"> generals de l’ </w:t>
      </w:r>
      <w:proofErr w:type="spellStart"/>
      <w:proofErr w:type="gramStart"/>
      <w:r w:rsidR="006B7E16" w:rsidRPr="006E628B">
        <w:rPr>
          <w:rFonts w:ascii="Times New Roman" w:eastAsia="SimSun" w:hAnsi="Times New Roman" w:cs="Times New Roman"/>
          <w:sz w:val="24"/>
          <w:szCs w:val="24"/>
          <w:lang w:val="en-GB" w:eastAsia="zh-CN"/>
        </w:rPr>
        <w:t>economiepure</w:t>
      </w:r>
      <w:proofErr w:type="spellEnd"/>
      <w:r w:rsidR="006B7E16" w:rsidRPr="006E628B">
        <w:rPr>
          <w:rFonts w:ascii="Times New Roman" w:eastAsia="SimSun" w:hAnsi="Times New Roman" w:cs="Times New Roman"/>
          <w:sz w:val="24"/>
          <w:szCs w:val="24"/>
          <w:lang w:val="en-GB" w:eastAsia="zh-CN"/>
        </w:rPr>
        <w:t xml:space="preserve"> ,</w:t>
      </w:r>
      <w:proofErr w:type="gramEnd"/>
      <w:r w:rsidR="006B7E16" w:rsidRPr="006E628B">
        <w:rPr>
          <w:rFonts w:ascii="Times New Roman" w:eastAsia="SimSun" w:hAnsi="Times New Roman" w:cs="Times New Roman"/>
          <w:sz w:val="24"/>
          <w:szCs w:val="24"/>
          <w:lang w:val="en-GB" w:eastAsia="zh-CN"/>
        </w:rPr>
        <w:t xml:space="preserve"> Paris and vol. IV, Annexes (2nd Ed. of a textbook published in 1943 under the title A la recherché </w:t>
      </w:r>
      <w:proofErr w:type="spellStart"/>
      <w:r w:rsidR="006B7E16" w:rsidRPr="006E628B">
        <w:rPr>
          <w:rFonts w:ascii="Times New Roman" w:eastAsia="SimSun" w:hAnsi="Times New Roman" w:cs="Times New Roman"/>
          <w:sz w:val="24"/>
          <w:szCs w:val="24"/>
          <w:lang w:val="en-GB" w:eastAsia="zh-CN"/>
        </w:rPr>
        <w:t>d’une</w:t>
      </w:r>
      <w:proofErr w:type="spellEnd"/>
      <w:r w:rsidR="006B7E16" w:rsidRPr="006E628B">
        <w:rPr>
          <w:rFonts w:ascii="Times New Roman" w:eastAsia="SimSun" w:hAnsi="Times New Roman" w:cs="Times New Roman"/>
          <w:sz w:val="24"/>
          <w:szCs w:val="24"/>
          <w:lang w:val="en-GB" w:eastAsia="zh-CN"/>
        </w:rPr>
        <w:t xml:space="preserve"> discipline </w:t>
      </w:r>
      <w:proofErr w:type="spellStart"/>
      <w:r w:rsidR="006B7E16" w:rsidRPr="006E628B">
        <w:rPr>
          <w:rFonts w:ascii="Times New Roman" w:eastAsia="SimSun" w:hAnsi="Times New Roman" w:cs="Times New Roman"/>
          <w:sz w:val="24"/>
          <w:szCs w:val="24"/>
          <w:lang w:val="en-GB" w:eastAsia="zh-CN"/>
        </w:rPr>
        <w:t>economique</w:t>
      </w:r>
      <w:proofErr w:type="spellEnd"/>
      <w:r w:rsidR="006B7E16" w:rsidRPr="006E628B">
        <w:rPr>
          <w:rFonts w:ascii="Times New Roman" w:eastAsia="SimSun" w:hAnsi="Times New Roman" w:cs="Times New Roman"/>
          <w:sz w:val="24"/>
          <w:szCs w:val="24"/>
          <w:lang w:val="en-GB" w:eastAsia="zh-CN"/>
        </w:rPr>
        <w:t>.</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12. </w:t>
      </w:r>
      <w:proofErr w:type="spellStart"/>
      <w:r w:rsidR="006B7E16" w:rsidRPr="006E628B">
        <w:rPr>
          <w:rFonts w:ascii="Times New Roman" w:eastAsia="SimSun" w:hAnsi="Times New Roman" w:cs="Times New Roman"/>
          <w:sz w:val="24"/>
          <w:szCs w:val="24"/>
          <w:lang w:val="en-GB" w:eastAsia="zh-CN"/>
        </w:rPr>
        <w:t>Jong</w:t>
      </w:r>
      <w:proofErr w:type="gramStart"/>
      <w:r w:rsidR="006B7E16" w:rsidRPr="006E628B">
        <w:rPr>
          <w:rFonts w:ascii="Times New Roman" w:eastAsia="SimSun" w:hAnsi="Times New Roman" w:cs="Times New Roman"/>
          <w:sz w:val="24"/>
          <w:szCs w:val="24"/>
          <w:lang w:val="en-GB" w:eastAsia="zh-CN"/>
        </w:rPr>
        <w:t>,F.J</w:t>
      </w:r>
      <w:proofErr w:type="spellEnd"/>
      <w:proofErr w:type="gramEnd"/>
      <w:r w:rsidR="006B7E16" w:rsidRPr="006E628B">
        <w:rPr>
          <w:rFonts w:ascii="Times New Roman" w:eastAsia="SimSun" w:hAnsi="Times New Roman" w:cs="Times New Roman"/>
          <w:sz w:val="24"/>
          <w:szCs w:val="24"/>
          <w:lang w:val="en-GB" w:eastAsia="zh-CN"/>
        </w:rPr>
        <w:t>. Dimensional Analysis for Economists, Amsterdam, North Holland Publ. Co,1967.</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13. </w:t>
      </w:r>
      <w:proofErr w:type="spellStart"/>
      <w:r w:rsidR="006B7E16" w:rsidRPr="006E628B">
        <w:rPr>
          <w:rFonts w:ascii="Times New Roman" w:eastAsia="SimSun" w:hAnsi="Times New Roman" w:cs="Times New Roman"/>
          <w:sz w:val="24"/>
          <w:szCs w:val="24"/>
          <w:lang w:val="en-GB" w:eastAsia="zh-CN"/>
        </w:rPr>
        <w:t>Boulding</w:t>
      </w:r>
      <w:proofErr w:type="gramStart"/>
      <w:r w:rsidR="006B7E16" w:rsidRPr="006E628B">
        <w:rPr>
          <w:rFonts w:ascii="Times New Roman" w:eastAsia="SimSun" w:hAnsi="Times New Roman" w:cs="Times New Roman"/>
          <w:sz w:val="24"/>
          <w:szCs w:val="24"/>
          <w:lang w:val="en-GB" w:eastAsia="zh-CN"/>
        </w:rPr>
        <w:t>,K.E</w:t>
      </w:r>
      <w:proofErr w:type="spellEnd"/>
      <w:proofErr w:type="gramEnd"/>
      <w:r w:rsidR="006B7E16" w:rsidRPr="006E628B">
        <w:rPr>
          <w:rFonts w:ascii="Times New Roman" w:eastAsia="SimSun" w:hAnsi="Times New Roman" w:cs="Times New Roman"/>
          <w:sz w:val="24"/>
          <w:szCs w:val="24"/>
          <w:lang w:val="en-GB" w:eastAsia="zh-CN"/>
        </w:rPr>
        <w:t>., Economic Analysis, 4th Ed., Vol. II, New York, 1966.</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14. </w:t>
      </w:r>
      <w:proofErr w:type="spellStart"/>
      <w:r w:rsidR="006B7E16" w:rsidRPr="006E628B">
        <w:rPr>
          <w:rFonts w:ascii="Times New Roman" w:eastAsia="SimSun" w:hAnsi="Times New Roman" w:cs="Times New Roman"/>
          <w:sz w:val="24"/>
          <w:szCs w:val="24"/>
          <w:lang w:val="en-GB" w:eastAsia="zh-CN"/>
        </w:rPr>
        <w:t>Auckley</w:t>
      </w:r>
      <w:proofErr w:type="gramStart"/>
      <w:r w:rsidR="006B7E16" w:rsidRPr="006E628B">
        <w:rPr>
          <w:rFonts w:ascii="Times New Roman" w:eastAsia="SimSun" w:hAnsi="Times New Roman" w:cs="Times New Roman"/>
          <w:sz w:val="24"/>
          <w:szCs w:val="24"/>
          <w:lang w:val="en-GB" w:eastAsia="zh-CN"/>
        </w:rPr>
        <w:t>,G</w:t>
      </w:r>
      <w:proofErr w:type="spellEnd"/>
      <w:proofErr w:type="gramEnd"/>
      <w:r w:rsidR="006B7E16" w:rsidRPr="006E628B">
        <w:rPr>
          <w:rFonts w:ascii="Times New Roman" w:eastAsia="SimSun" w:hAnsi="Times New Roman" w:cs="Times New Roman"/>
          <w:sz w:val="24"/>
          <w:szCs w:val="24"/>
          <w:lang w:val="en-GB" w:eastAsia="zh-CN"/>
        </w:rPr>
        <w:t>., Macroeconomic Theory, New York, 1961.</w:t>
      </w:r>
    </w:p>
    <w:p w:rsidR="006B7E16" w:rsidRPr="006E628B" w:rsidRDefault="002967B5" w:rsidP="006B7E16">
      <w:pPr>
        <w:spacing w:after="0" w:line="240" w:lineRule="auto"/>
        <w:ind w:left="284" w:hanging="284"/>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15. </w:t>
      </w:r>
      <w:proofErr w:type="spellStart"/>
      <w:r w:rsidR="006B7E16" w:rsidRPr="006E628B">
        <w:rPr>
          <w:rFonts w:ascii="Times New Roman" w:eastAsia="SimSun" w:hAnsi="Times New Roman" w:cs="Times New Roman"/>
          <w:sz w:val="24"/>
          <w:szCs w:val="24"/>
          <w:lang w:val="en-GB" w:eastAsia="zh-CN"/>
        </w:rPr>
        <w:t>Walker,G.M</w:t>
      </w:r>
      <w:proofErr w:type="spellEnd"/>
      <w:r w:rsidR="006B7E16" w:rsidRPr="006E628B">
        <w:rPr>
          <w:rFonts w:ascii="Times New Roman" w:eastAsia="SimSun" w:hAnsi="Times New Roman" w:cs="Times New Roman"/>
          <w:sz w:val="24"/>
          <w:szCs w:val="24"/>
          <w:lang w:val="en-GB" w:eastAsia="zh-CN"/>
        </w:rPr>
        <w:t xml:space="preserve">., L.R. </w:t>
      </w:r>
      <w:proofErr w:type="spellStart"/>
      <w:r w:rsidR="006B7E16" w:rsidRPr="006E628B">
        <w:rPr>
          <w:rFonts w:ascii="Times New Roman" w:eastAsia="SimSun" w:hAnsi="Times New Roman" w:cs="Times New Roman"/>
          <w:sz w:val="24"/>
          <w:szCs w:val="24"/>
          <w:lang w:val="en-GB" w:eastAsia="zh-CN"/>
        </w:rPr>
        <w:t>Weatherley</w:t>
      </w:r>
      <w:proofErr w:type="spellEnd"/>
      <w:r w:rsidR="006B7E16" w:rsidRPr="006E628B">
        <w:rPr>
          <w:rFonts w:ascii="Times New Roman" w:eastAsia="SimSun" w:hAnsi="Times New Roman" w:cs="Times New Roman"/>
          <w:sz w:val="24"/>
          <w:szCs w:val="24"/>
          <w:lang w:val="en-GB" w:eastAsia="zh-CN"/>
        </w:rPr>
        <w:t>, J. Chem. Eng. 83, 201-206, 2001.</w:t>
      </w:r>
    </w:p>
    <w:p w:rsidR="006B7E16" w:rsidRPr="006E628B" w:rsidRDefault="006B7E16" w:rsidP="006B7E16">
      <w:pPr>
        <w:spacing w:after="0" w:line="240" w:lineRule="auto"/>
        <w:jc w:val="both"/>
        <w:rPr>
          <w:rFonts w:ascii="Times New Roman" w:eastAsia="Times New Roman" w:hAnsi="Times New Roman" w:cs="Times New Roman"/>
          <w:sz w:val="24"/>
          <w:szCs w:val="24"/>
          <w:lang w:val="en-US"/>
        </w:rPr>
      </w:pPr>
    </w:p>
    <w:p w:rsidR="00800F29" w:rsidRPr="006B7E16" w:rsidRDefault="00800F29" w:rsidP="00800F29">
      <w:pPr>
        <w:jc w:val="both"/>
        <w:rPr>
          <w:rFonts w:ascii="Times New Roman" w:hAnsi="Times New Roman" w:cs="Times New Roman"/>
          <w:sz w:val="24"/>
          <w:szCs w:val="24"/>
          <w:lang w:val="en-US"/>
        </w:rPr>
      </w:pPr>
    </w:p>
    <w:p w:rsidR="00800F29" w:rsidRPr="00800F29" w:rsidRDefault="00800F29" w:rsidP="00800F29">
      <w:pPr>
        <w:rPr>
          <w:rFonts w:ascii="Times New Roman" w:hAnsi="Times New Roman" w:cs="Times New Roman"/>
          <w:lang w:val="en-US"/>
        </w:rPr>
      </w:pPr>
    </w:p>
    <w:p w:rsidR="00800F29" w:rsidRPr="00800F29" w:rsidRDefault="00800F29">
      <w:pPr>
        <w:rPr>
          <w:rFonts w:ascii="Times New Roman" w:hAnsi="Times New Roman" w:cs="Times New Roman"/>
          <w:lang w:val="en-US"/>
        </w:rPr>
      </w:pPr>
    </w:p>
    <w:sectPr w:rsidR="00800F29" w:rsidRPr="00800F29" w:rsidSect="006A36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00BD8"/>
    <w:multiLevelType w:val="multilevel"/>
    <w:tmpl w:val="81A86C9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7EBD"/>
    <w:rsid w:val="002115CD"/>
    <w:rsid w:val="0023233B"/>
    <w:rsid w:val="002967B5"/>
    <w:rsid w:val="003D3FDB"/>
    <w:rsid w:val="00421B7C"/>
    <w:rsid w:val="00456BE8"/>
    <w:rsid w:val="004A55B8"/>
    <w:rsid w:val="00507EBD"/>
    <w:rsid w:val="00547023"/>
    <w:rsid w:val="005778EA"/>
    <w:rsid w:val="00597BBA"/>
    <w:rsid w:val="00645F51"/>
    <w:rsid w:val="0065442B"/>
    <w:rsid w:val="0065659B"/>
    <w:rsid w:val="00675344"/>
    <w:rsid w:val="006A36DD"/>
    <w:rsid w:val="006B7E16"/>
    <w:rsid w:val="00782D1A"/>
    <w:rsid w:val="00800F29"/>
    <w:rsid w:val="009A5AB1"/>
    <w:rsid w:val="00A13FDA"/>
    <w:rsid w:val="00A959BE"/>
    <w:rsid w:val="00B13AEA"/>
    <w:rsid w:val="00CA3694"/>
    <w:rsid w:val="00CD7654"/>
    <w:rsid w:val="00CF415E"/>
    <w:rsid w:val="00DD5930"/>
    <w:rsid w:val="00E25D13"/>
    <w:rsid w:val="00F070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EBD"/>
  </w:style>
  <w:style w:type="paragraph" w:styleId="1">
    <w:name w:val="heading 1"/>
    <w:basedOn w:val="a"/>
    <w:next w:val="a"/>
    <w:link w:val="1Char"/>
    <w:qFormat/>
    <w:rsid w:val="00507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507EBD"/>
    <w:pPr>
      <w:spacing w:before="360" w:after="0" w:line="240" w:lineRule="auto"/>
      <w:ind w:left="288" w:right="288"/>
      <w:jc w:val="both"/>
    </w:pPr>
    <w:rPr>
      <w:rFonts w:ascii="Times New Roman" w:eastAsia="Times New Roman" w:hAnsi="Times New Roman" w:cs="Times New Roman"/>
      <w:sz w:val="18"/>
      <w:szCs w:val="20"/>
      <w:lang w:val="en-US"/>
    </w:rPr>
  </w:style>
  <w:style w:type="paragraph" w:customStyle="1" w:styleId="Titlestyle">
    <w:name w:val="Title style"/>
    <w:basedOn w:val="1"/>
    <w:rsid w:val="00507EBD"/>
    <w:pPr>
      <w:keepLines w:val="0"/>
      <w:spacing w:before="0" w:line="240" w:lineRule="auto"/>
    </w:pPr>
    <w:rPr>
      <w:rFonts w:ascii="Arial" w:eastAsia="Times New Roman" w:hAnsi="Arial" w:cs="Times New Roman"/>
      <w:bCs w:val="0"/>
      <w:color w:val="auto"/>
      <w:kern w:val="28"/>
      <w:sz w:val="32"/>
      <w:szCs w:val="20"/>
      <w:lang w:val="en-AU"/>
    </w:rPr>
  </w:style>
  <w:style w:type="character" w:customStyle="1" w:styleId="1Char">
    <w:name w:val="Επικεφαλίδα 1 Char"/>
    <w:basedOn w:val="a0"/>
    <w:link w:val="1"/>
    <w:rsid w:val="00507EBD"/>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A5AB1"/>
    <w:pPr>
      <w:ind w:left="720"/>
      <w:contextualSpacing/>
    </w:pPr>
  </w:style>
  <w:style w:type="character" w:styleId="-">
    <w:name w:val="Hyperlink"/>
    <w:basedOn w:val="a0"/>
    <w:uiPriority w:val="99"/>
    <w:unhideWhenUsed/>
    <w:rsid w:val="009A5AB1"/>
    <w:rPr>
      <w:color w:val="0000FF" w:themeColor="hyperlink"/>
      <w:u w:val="single"/>
    </w:rPr>
  </w:style>
  <w:style w:type="paragraph" w:styleId="a4">
    <w:name w:val="Balloon Text"/>
    <w:basedOn w:val="a"/>
    <w:link w:val="Char"/>
    <w:uiPriority w:val="99"/>
    <w:semiHidden/>
    <w:unhideWhenUsed/>
    <w:rsid w:val="00800F2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0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5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wmf"/><Relationship Id="rId24" Type="http://schemas.openxmlformats.org/officeDocument/2006/relationships/oleObject" Target="embeddings/oleObject9.bin"/><Relationship Id="rId5" Type="http://schemas.openxmlformats.org/officeDocument/2006/relationships/hyperlink" Target="mailto:odykopsi@yahoo.gr" TargetMode="Externa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2719</Words>
  <Characters>14686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18</cp:revision>
  <dcterms:created xsi:type="dcterms:W3CDTF">2016-03-08T13:48:00Z</dcterms:created>
  <dcterms:modified xsi:type="dcterms:W3CDTF">2016-07-31T07:15:00Z</dcterms:modified>
</cp:coreProperties>
</file>